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AE57" w14:textId="77777777" w:rsidR="000F4FAE" w:rsidRPr="00AE34B5" w:rsidRDefault="000F4FAE" w:rsidP="00406EC0">
      <w:pPr>
        <w:rPr>
          <w:rFonts w:asciiTheme="majorHAnsi" w:hAnsiTheme="majorHAnsi"/>
          <w:sz w:val="22"/>
          <w:szCs w:val="22"/>
        </w:rPr>
      </w:pPr>
    </w:p>
    <w:p w14:paraId="42713132" w14:textId="1DB8DF0A" w:rsidR="000D2D8E" w:rsidRPr="00187969" w:rsidRDefault="000D2D8E" w:rsidP="000D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</w:t>
      </w:r>
      <w:r w:rsidR="002B3AA2">
        <w:rPr>
          <w:rFonts w:ascii="Verdana" w:hAnsi="Verdana"/>
          <w:b/>
        </w:rPr>
        <w:t>C</w:t>
      </w:r>
      <w:r w:rsidRPr="00AC786F">
        <w:rPr>
          <w:rFonts w:ascii="Verdana" w:hAnsi="Verdana"/>
          <w:b/>
        </w:rPr>
        <w:t xml:space="preserve"> do IDW – </w:t>
      </w:r>
      <w:r>
        <w:rPr>
          <w:rFonts w:ascii="Verdana" w:hAnsi="Verdana"/>
          <w:b/>
        </w:rPr>
        <w:t xml:space="preserve">Arkusz informacji technicznej </w:t>
      </w:r>
    </w:p>
    <w:p w14:paraId="0B793318" w14:textId="77777777" w:rsidR="000D2D8E" w:rsidRDefault="000D2D8E" w:rsidP="000D2D8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3A9D0B9" w14:textId="77777777" w:rsidR="000D2D8E" w:rsidRDefault="000D2D8E" w:rsidP="00406EC0">
      <w:pPr>
        <w:rPr>
          <w:rFonts w:asciiTheme="majorHAnsi" w:hAnsiTheme="majorHAnsi"/>
          <w:b/>
          <w:sz w:val="22"/>
          <w:szCs w:val="22"/>
        </w:rPr>
      </w:pPr>
    </w:p>
    <w:p w14:paraId="64B91B1A" w14:textId="7E86B21C" w:rsidR="00EA0C6F" w:rsidRDefault="00EA0C6F" w:rsidP="000D2D8E">
      <w:pPr>
        <w:jc w:val="center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004BF7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Zadanie </w:t>
      </w:r>
      <w:r w:rsidR="002B3AA2">
        <w:rPr>
          <w:rFonts w:asciiTheme="majorHAnsi" w:hAnsiTheme="majorHAnsi"/>
          <w:b/>
          <w:color w:val="E36C0A" w:themeColor="accent6" w:themeShade="BF"/>
          <w:sz w:val="22"/>
          <w:szCs w:val="22"/>
        </w:rPr>
        <w:t>3</w:t>
      </w:r>
      <w:r w:rsidRPr="00004BF7">
        <w:rPr>
          <w:rFonts w:asciiTheme="majorHAnsi" w:hAnsiTheme="majorHAnsi"/>
          <w:color w:val="E36C0A" w:themeColor="accent6" w:themeShade="BF"/>
          <w:sz w:val="22"/>
          <w:szCs w:val="22"/>
        </w:rPr>
        <w:t xml:space="preserve"> </w:t>
      </w:r>
      <w:r w:rsidR="004F30CE" w:rsidRPr="00004BF7">
        <w:rPr>
          <w:rFonts w:asciiTheme="majorHAnsi" w:hAnsiTheme="majorHAnsi"/>
          <w:color w:val="E36C0A" w:themeColor="accent6" w:themeShade="BF"/>
          <w:sz w:val="22"/>
          <w:szCs w:val="22"/>
        </w:rPr>
        <w:t>–</w:t>
      </w:r>
      <w:r w:rsidRPr="00004BF7">
        <w:rPr>
          <w:rFonts w:asciiTheme="majorHAnsi" w:hAnsiTheme="majorHAnsi"/>
          <w:color w:val="E36C0A" w:themeColor="accent6" w:themeShade="BF"/>
          <w:sz w:val="22"/>
          <w:szCs w:val="22"/>
        </w:rPr>
        <w:t xml:space="preserve"> </w:t>
      </w:r>
      <w:r w:rsidR="00AF59A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Zakup </w:t>
      </w:r>
      <w:r w:rsidR="002B3AA2">
        <w:rPr>
          <w:rFonts w:asciiTheme="majorHAnsi" w:hAnsiTheme="majorHAnsi"/>
          <w:b/>
          <w:color w:val="E36C0A" w:themeColor="accent6" w:themeShade="BF"/>
          <w:sz w:val="22"/>
          <w:szCs w:val="22"/>
        </w:rPr>
        <w:t>d</w:t>
      </w:r>
      <w:r w:rsidR="002B3AA2" w:rsidRPr="002B3AA2">
        <w:rPr>
          <w:rFonts w:asciiTheme="majorHAnsi" w:hAnsiTheme="majorHAnsi"/>
          <w:b/>
          <w:color w:val="E36C0A" w:themeColor="accent6" w:themeShade="BF"/>
          <w:sz w:val="22"/>
          <w:szCs w:val="22"/>
        </w:rPr>
        <w:t>ensytometr</w:t>
      </w:r>
      <w:r w:rsidR="002B3AA2">
        <w:rPr>
          <w:rFonts w:asciiTheme="majorHAnsi" w:hAnsiTheme="majorHAnsi"/>
          <w:b/>
          <w:color w:val="E36C0A" w:themeColor="accent6" w:themeShade="BF"/>
          <w:sz w:val="22"/>
          <w:szCs w:val="22"/>
        </w:rPr>
        <w:t>u</w:t>
      </w:r>
      <w:r w:rsidR="002B3AA2" w:rsidRPr="002B3AA2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</w:t>
      </w:r>
      <w:r w:rsidR="00D9128A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(szt. 1) </w:t>
      </w:r>
    </w:p>
    <w:p w14:paraId="2C51A2BE" w14:textId="77777777" w:rsidR="00B95661" w:rsidRDefault="00B95661" w:rsidP="00AE34B5">
      <w:pPr>
        <w:pStyle w:val="Podtytu"/>
        <w:jc w:val="center"/>
        <w:rPr>
          <w:rFonts w:asciiTheme="majorHAnsi" w:hAnsiTheme="majorHAnsi"/>
          <w:szCs w:val="22"/>
        </w:rPr>
      </w:pPr>
    </w:p>
    <w:p w14:paraId="52DD14E2" w14:textId="77777777" w:rsidR="00AE34B5" w:rsidRPr="00AE34B5" w:rsidRDefault="00AE34B5" w:rsidP="00AE34B5">
      <w:pPr>
        <w:pStyle w:val="Podtytu"/>
        <w:jc w:val="center"/>
        <w:rPr>
          <w:rFonts w:asciiTheme="majorHAnsi" w:hAnsiTheme="majorHAnsi"/>
          <w:szCs w:val="22"/>
        </w:rPr>
      </w:pPr>
      <w:r w:rsidRPr="00AE34B5">
        <w:rPr>
          <w:rFonts w:asciiTheme="majorHAnsi" w:hAnsiTheme="majorHAnsi"/>
          <w:szCs w:val="22"/>
        </w:rPr>
        <w:t>Wymagane Parametry Techniczne</w:t>
      </w:r>
    </w:p>
    <w:p w14:paraId="06771558" w14:textId="77777777" w:rsidR="00AE34B5" w:rsidRPr="00AE34B5" w:rsidRDefault="00AE34B5" w:rsidP="00AE34B5">
      <w:pPr>
        <w:rPr>
          <w:rFonts w:asciiTheme="majorHAnsi" w:hAnsiTheme="majorHAnsi" w:cs="Arial"/>
          <w:bCs/>
          <w:sz w:val="22"/>
          <w:szCs w:val="22"/>
        </w:rPr>
      </w:pPr>
    </w:p>
    <w:p w14:paraId="217A9262" w14:textId="77777777" w:rsidR="00AE34B5" w:rsidRPr="00AE34B5" w:rsidRDefault="00AE34B5" w:rsidP="00AE34B5">
      <w:pPr>
        <w:rPr>
          <w:rFonts w:asciiTheme="majorHAnsi" w:hAnsiTheme="majorHAnsi" w:cs="Arial"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AE34B5" w:rsidRPr="00AE34B5" w14:paraId="08C3A847" w14:textId="77777777" w:rsidTr="00ED4964">
        <w:tc>
          <w:tcPr>
            <w:tcW w:w="3261" w:type="dxa"/>
            <w:shd w:val="clear" w:color="auto" w:fill="D9D9D9"/>
          </w:tcPr>
          <w:p w14:paraId="764E8307" w14:textId="10466A61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Pełna nazwa </w:t>
            </w:r>
            <w:r w:rsidR="002B3AA2">
              <w:rPr>
                <w:rFonts w:asciiTheme="majorHAnsi" w:hAnsiTheme="majorHAnsi" w:cs="Arial"/>
                <w:sz w:val="22"/>
                <w:szCs w:val="22"/>
              </w:rPr>
              <w:t>d</w:t>
            </w:r>
            <w:r w:rsidR="002B3AA2" w:rsidRPr="002B3AA2">
              <w:rPr>
                <w:rFonts w:asciiTheme="majorHAnsi" w:hAnsiTheme="majorHAnsi" w:cs="Arial"/>
                <w:sz w:val="22"/>
                <w:szCs w:val="22"/>
              </w:rPr>
              <w:t>ensytometr</w:t>
            </w:r>
            <w:r w:rsidR="002B3AA2">
              <w:rPr>
                <w:rFonts w:asciiTheme="majorHAnsi" w:hAnsiTheme="majorHAnsi" w:cs="Arial"/>
                <w:sz w:val="22"/>
                <w:szCs w:val="22"/>
              </w:rPr>
              <w:t>u</w:t>
            </w:r>
          </w:p>
        </w:tc>
        <w:tc>
          <w:tcPr>
            <w:tcW w:w="1260" w:type="dxa"/>
            <w:shd w:val="clear" w:color="auto" w:fill="D9D9D9"/>
          </w:tcPr>
          <w:p w14:paraId="3D05A40C" w14:textId="77777777"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1C73279E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14:paraId="315F796C" w14:textId="77777777" w:rsidTr="00ED4964">
        <w:tc>
          <w:tcPr>
            <w:tcW w:w="3261" w:type="dxa"/>
            <w:shd w:val="clear" w:color="auto" w:fill="D9D9D9"/>
          </w:tcPr>
          <w:p w14:paraId="551B5108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14:paraId="14008450" w14:textId="77777777"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72E0B3D2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14:paraId="480B9215" w14:textId="77777777" w:rsidTr="00ED4964">
        <w:tc>
          <w:tcPr>
            <w:tcW w:w="3261" w:type="dxa"/>
            <w:shd w:val="clear" w:color="auto" w:fill="D9D9D9"/>
          </w:tcPr>
          <w:p w14:paraId="36C20112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14:paraId="4BAFEB67" w14:textId="77777777"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36E69C6B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14:paraId="043AA6A2" w14:textId="77777777" w:rsidTr="00ED4964">
        <w:tc>
          <w:tcPr>
            <w:tcW w:w="3261" w:type="dxa"/>
            <w:shd w:val="clear" w:color="auto" w:fill="D9D9D9"/>
          </w:tcPr>
          <w:p w14:paraId="7EF007F7" w14:textId="69049E74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Dystrybutor </w:t>
            </w:r>
          </w:p>
        </w:tc>
        <w:tc>
          <w:tcPr>
            <w:tcW w:w="1260" w:type="dxa"/>
            <w:shd w:val="clear" w:color="auto" w:fill="D9D9D9"/>
          </w:tcPr>
          <w:p w14:paraId="596E94DA" w14:textId="77777777"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02514E6F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9175212" w14:textId="77777777" w:rsidR="00AE34B5" w:rsidRPr="00AE34B5" w:rsidRDefault="00AE34B5" w:rsidP="00AE34B5">
      <w:pPr>
        <w:rPr>
          <w:rFonts w:asciiTheme="majorHAnsi" w:hAnsiTheme="majorHAnsi" w:cs="Arial"/>
          <w:sz w:val="22"/>
          <w:szCs w:val="22"/>
        </w:rPr>
      </w:pPr>
    </w:p>
    <w:p w14:paraId="6CE0C5D2" w14:textId="6AED3C25" w:rsidR="00AF59A3" w:rsidRDefault="00AF59A3" w:rsidP="00AE34B5">
      <w:pPr>
        <w:rPr>
          <w:rFonts w:asciiTheme="majorHAnsi" w:hAnsiTheme="majorHAnsi" w:cs="Arial"/>
          <w:sz w:val="22"/>
          <w:szCs w:val="22"/>
        </w:rPr>
      </w:pPr>
    </w:p>
    <w:p w14:paraId="3ECE1219" w14:textId="77777777" w:rsidR="00BF4FED" w:rsidRDefault="00BF4FED"/>
    <w:tbl>
      <w:tblPr>
        <w:tblW w:w="99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4"/>
        <w:gridCol w:w="4363"/>
        <w:gridCol w:w="11"/>
        <w:gridCol w:w="1966"/>
        <w:gridCol w:w="7"/>
        <w:gridCol w:w="3001"/>
      </w:tblGrid>
      <w:tr w:rsidR="00BF4FED" w14:paraId="0E0A6F6A" w14:textId="77777777" w:rsidTr="00BF4FED">
        <w:trPr>
          <w:cantSplit/>
          <w:trHeight w:val="410"/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08B10" w14:textId="1B8867D8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6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78D00E2" w14:textId="5B048F01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bCs/>
                <w:sz w:val="18"/>
                <w:szCs w:val="18"/>
              </w:rPr>
              <w:t>Parametr / Warunek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767A44F" w14:textId="58EEEDEB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2A3CB7" w14:textId="77777777" w:rsidR="00BF4FED" w:rsidRPr="004607BF" w:rsidRDefault="00BF4FED" w:rsidP="00BF4F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607BF">
              <w:rPr>
                <w:rFonts w:ascii="Verdana" w:hAnsi="Verdana" w:cs="Calibri"/>
                <w:b/>
                <w:bCs/>
                <w:sz w:val="18"/>
                <w:szCs w:val="18"/>
              </w:rPr>
              <w:t>Należy podać oferowany parametr lub opisać</w:t>
            </w:r>
          </w:p>
          <w:p w14:paraId="0B13B4C4" w14:textId="45F3DDB3" w:rsidR="00BF4FED" w:rsidRPr="004607BF" w:rsidRDefault="00BF4FED" w:rsidP="00BF4FED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F4FED" w14:paraId="1DBE163E" w14:textId="77777777" w:rsidTr="00BF4FED">
        <w:trPr>
          <w:cantSplit/>
          <w:trHeight w:val="410"/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BC789B" w14:textId="028C25D9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9348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A6B9EF6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PARAMETRY OGÓLNE:</w:t>
            </w:r>
          </w:p>
        </w:tc>
      </w:tr>
      <w:tr w:rsidR="00BF4FED" w:rsidRPr="00AA3F82" w14:paraId="3D1E240F" w14:textId="77777777" w:rsidTr="00CF6128">
        <w:trPr>
          <w:trHeight w:val="867"/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67F7F5" w14:textId="77777777" w:rsidR="00BF4FED" w:rsidRPr="004607BF" w:rsidRDefault="00BF4FED" w:rsidP="00BF4FED">
            <w:pPr>
              <w:ind w:left="57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024A8" w14:textId="383AAE3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Aparat </w:t>
            </w:r>
            <w:proofErr w:type="gramStart"/>
            <w:r w:rsidRPr="004607BF">
              <w:rPr>
                <w:rFonts w:ascii="Verdana" w:hAnsi="Verdana" w:cstheme="minorHAnsi"/>
                <w:sz w:val="18"/>
                <w:szCs w:val="18"/>
              </w:rPr>
              <w:t>rentgenowski  z</w:t>
            </w:r>
            <w:proofErr w:type="gram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metodą DEXA (stacjonarny) fabrycznie nowy </w:t>
            </w:r>
            <w:r w:rsidR="007C6288" w:rsidRPr="004607BF">
              <w:rPr>
                <w:rFonts w:ascii="Verdana" w:hAnsi="Verdana" w:cstheme="minorHAnsi"/>
                <w:sz w:val="18"/>
                <w:szCs w:val="18"/>
              </w:rPr>
              <w:t xml:space="preserve">; rok produkcji 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2020r.</w:t>
            </w:r>
          </w:p>
          <w:p w14:paraId="4DAB12C7" w14:textId="77777777" w:rsidR="00BF4FED" w:rsidRPr="004607BF" w:rsidRDefault="00BF4FED" w:rsidP="00BF4FED">
            <w:pPr>
              <w:spacing w:line="276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C3CA7" w14:textId="7A0A0F73" w:rsidR="00BF4FED" w:rsidRPr="004607BF" w:rsidRDefault="00BF4FED" w:rsidP="00CF612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5AF9CC7" w14:textId="77777777" w:rsidR="00BF4FED" w:rsidRPr="004607BF" w:rsidRDefault="00BF4FED" w:rsidP="00CF612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36A8E081" w14:textId="77777777" w:rsidTr="00694919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A1BE8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D5F8F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Stół skaningowy stacjonarny nieskładany z ramieniem typu „C”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7C758" w14:textId="12D0AC7F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2273F02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660E21A2" w14:textId="77777777" w:rsidTr="00694919">
        <w:trPr>
          <w:trHeight w:val="343"/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B99839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1187A3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Moc generatora max do 0,7 KW – przy pełnym obciążeniu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8D7C9E" w14:textId="6A76482B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3F26B60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59B6A708" w14:textId="77777777" w:rsidTr="00694919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D22EF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217EC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Napięcie zasilające system 230 V/50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Hz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bez konieczności stosowania dodatkowych urządzeń zasilających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C7E31" w14:textId="56BB9720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020641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67FC4957" w14:textId="77777777" w:rsidTr="00BF4FED">
        <w:trPr>
          <w:cantSplit/>
          <w:trHeight w:val="408"/>
          <w:jc w:val="center"/>
        </w:trPr>
        <w:tc>
          <w:tcPr>
            <w:tcW w:w="9932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F32B951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OBRAZOWANIE:</w:t>
            </w:r>
          </w:p>
        </w:tc>
      </w:tr>
      <w:tr w:rsidR="00BF4FED" w:rsidRPr="00AA3F82" w14:paraId="6000ED37" w14:textId="77777777" w:rsidTr="001A0F9C">
        <w:trPr>
          <w:trHeight w:val="305"/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6848B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79E97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Promieniowanie w wiązce wachlarzowej. Maksymalny kąt rozwarcia 5 ˚ (tzw. wąski wachlarz), z dokładnym opisem geometrii wiązki umożliwiającym eliminacje artefaktów znajdujących się poza osią stołu.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BD561" w14:textId="099E75BD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75D1DD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4D57CD86" w14:textId="77777777" w:rsidTr="001A0F9C">
        <w:trPr>
          <w:trHeight w:val="1039"/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94055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5BF30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gramStart"/>
            <w:r w:rsidRPr="004607BF">
              <w:rPr>
                <w:rFonts w:ascii="Verdana" w:hAnsi="Verdana" w:cstheme="minorHAnsi"/>
                <w:sz w:val="18"/>
                <w:szCs w:val="18"/>
              </w:rPr>
              <w:t>Maksymalna  dawka</w:t>
            </w:r>
            <w:proofErr w:type="gram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promieniowania rozproszonego </w:t>
            </w:r>
            <w:smartTag w:uri="urn:schemas-microsoft-com:office:smarttags" w:element="metricconverter">
              <w:smartTagPr>
                <w:attr w:name="ProductID" w:val="1 metr"/>
              </w:smartTagPr>
              <w:r w:rsidRPr="004607BF">
                <w:rPr>
                  <w:rFonts w:ascii="Verdana" w:hAnsi="Verdana" w:cstheme="minorHAnsi"/>
                  <w:sz w:val="18"/>
                  <w:szCs w:val="18"/>
                </w:rPr>
                <w:t>1 metr</w:t>
              </w:r>
            </w:smartTag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od aparatu (lampy)- do 0,8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mR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>/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48B20" w14:textId="1F179766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1A19AC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07BF23EA" w14:textId="77777777" w:rsidTr="001A0F9C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4790D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3.</w:t>
            </w:r>
          </w:p>
          <w:p w14:paraId="5B54CCBA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ECFB7" w14:textId="77777777" w:rsidR="00BF4FED" w:rsidRPr="004607BF" w:rsidRDefault="00BF4FED" w:rsidP="00BF4FED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Dawka promieniowania dla pacjenta:</w:t>
            </w:r>
          </w:p>
          <w:p w14:paraId="07B378A6" w14:textId="77777777" w:rsidR="00BF4FED" w:rsidRPr="004607BF" w:rsidRDefault="00BF4FED" w:rsidP="00BF4FED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a) kręgosłup AP – max 50 µ</w:t>
            </w:r>
            <w:proofErr w:type="spellStart"/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Gy</w:t>
            </w:r>
            <w:proofErr w:type="spellEnd"/>
          </w:p>
          <w:p w14:paraId="0B2831A1" w14:textId="77777777" w:rsidR="00BF4FED" w:rsidRPr="004607BF" w:rsidRDefault="00BF4FED" w:rsidP="00BF4FED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b) szyjka kości udowej – max 50 µ</w:t>
            </w:r>
            <w:proofErr w:type="spellStart"/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Gy</w:t>
            </w:r>
            <w:proofErr w:type="spellEnd"/>
          </w:p>
          <w:p w14:paraId="20049F3E" w14:textId="77777777" w:rsidR="00BF4FED" w:rsidRPr="004607BF" w:rsidRDefault="00BF4FED" w:rsidP="00BF4FED">
            <w:pPr>
              <w:ind w:left="382" w:hanging="382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DD860" w14:textId="6717DF52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42C652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3817484D" w14:textId="77777777" w:rsidTr="001A0F9C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17F9B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3.1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92E9B" w14:textId="77777777" w:rsidR="00BF4FED" w:rsidRPr="004607BF" w:rsidRDefault="00BF4FED" w:rsidP="00BF4FED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c) całe ciało/skład ciała – max 0,5 µ</w:t>
            </w:r>
            <w:proofErr w:type="spellStart"/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Gy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DCD37" w14:textId="19DF40A1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56C02D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69901A44" w14:textId="77777777" w:rsidTr="001A0F9C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D9686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489BF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Czasy skanowania dla lokalizacji:</w:t>
            </w:r>
          </w:p>
          <w:p w14:paraId="5FE509A0" w14:textId="77777777" w:rsidR="00BF4FED" w:rsidRPr="004607BF" w:rsidRDefault="00BF4FED" w:rsidP="00BF4FED">
            <w:pPr>
              <w:numPr>
                <w:ilvl w:val="0"/>
                <w:numId w:val="11"/>
              </w:numPr>
              <w:ind w:left="232" w:hanging="232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kręgosłup AP</w:t>
            </w:r>
          </w:p>
          <w:p w14:paraId="70AF2387" w14:textId="77777777" w:rsidR="00BF4FED" w:rsidRPr="004607BF" w:rsidRDefault="00BF4FED" w:rsidP="00BF4FED">
            <w:pPr>
              <w:numPr>
                <w:ilvl w:val="0"/>
                <w:numId w:val="11"/>
              </w:numPr>
              <w:ind w:left="232" w:hanging="232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szyjka kości udowej</w:t>
            </w:r>
          </w:p>
          <w:p w14:paraId="09F2DB2C" w14:textId="77777777" w:rsidR="00BF4FED" w:rsidRPr="004607BF" w:rsidRDefault="00BF4FED" w:rsidP="00BF4FED">
            <w:pPr>
              <w:numPr>
                <w:ilvl w:val="0"/>
                <w:numId w:val="11"/>
              </w:numPr>
              <w:ind w:left="232" w:hanging="232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całe ciało/skład ciała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ED477" w14:textId="24BF3349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B9BCE2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006C793E" w14:textId="77777777" w:rsidTr="001A0F9C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C9FAF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6D584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Kalibracja aparatu dla tkanki twardej - min 3 wartości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9F3BB" w14:textId="561F4658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58316B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3AB065B2" w14:textId="77777777" w:rsidTr="00CF6128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3E8CF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72A42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Kalibracja aparatu dla tkanki miękkiej – min 3 wartości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2235" w14:textId="77777777" w:rsidR="00BF4FED" w:rsidRPr="004607BF" w:rsidRDefault="00BF4FED" w:rsidP="00CF6128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44762B3D" w14:textId="77777777" w:rsidR="00BF4FED" w:rsidRPr="004607BF" w:rsidRDefault="00BF4FED" w:rsidP="00CF6128">
            <w:pPr>
              <w:rPr>
                <w:rFonts w:ascii="Verdana" w:hAnsi="Verdana" w:cs="Calibri"/>
                <w:sz w:val="18"/>
                <w:szCs w:val="18"/>
              </w:rPr>
            </w:pPr>
          </w:p>
          <w:p w14:paraId="046590CA" w14:textId="08DA7B1C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704FC0" w14:textId="77777777" w:rsidR="00BF4FED" w:rsidRPr="004607BF" w:rsidRDefault="00BF4FED" w:rsidP="00CF612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010B5A8E" w14:textId="77777777" w:rsidTr="00BF4FED">
        <w:trPr>
          <w:cantSplit/>
          <w:trHeight w:val="319"/>
          <w:jc w:val="center"/>
        </w:trPr>
        <w:tc>
          <w:tcPr>
            <w:tcW w:w="99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C3A3B8D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>WŁAŚCIOWOŚCI KLINICZNE - MOŻLIWOŚĆ POMIARU W LOKALIZACJACH:</w:t>
            </w:r>
          </w:p>
        </w:tc>
      </w:tr>
      <w:tr w:rsidR="00BF4FED" w:rsidRPr="005367EA" w14:paraId="0A767F06" w14:textId="77777777" w:rsidTr="00BF4FED">
        <w:trPr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DB442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90412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Szyjka kości udowej:</w:t>
            </w:r>
          </w:p>
          <w:p w14:paraId="46BDFF71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lastRenderedPageBreak/>
              <w:t>a) BMD,</w:t>
            </w:r>
          </w:p>
          <w:p w14:paraId="01FD6C91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b) BMC,</w:t>
            </w:r>
          </w:p>
          <w:p w14:paraId="723ABA55" w14:textId="77777777" w:rsidR="00BF4FED" w:rsidRPr="004607BF" w:rsidRDefault="00BF4FED" w:rsidP="00BF4FED">
            <w:pPr>
              <w:tabs>
                <w:tab w:val="left" w:pos="1200"/>
              </w:tabs>
              <w:ind w:left="232" w:hanging="232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c) powierzchnia dla krętarza, trzpienia, </w:t>
            </w:r>
            <w:proofErr w:type="gramStart"/>
            <w:r w:rsidRPr="004607BF">
              <w:rPr>
                <w:rFonts w:ascii="Verdana" w:hAnsi="Verdana" w:cstheme="minorHAnsi"/>
                <w:sz w:val="18"/>
                <w:szCs w:val="18"/>
              </w:rPr>
              <w:t>szyjki,</w:t>
            </w:r>
            <w:proofErr w:type="gram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oraz dla „Total”,</w:t>
            </w:r>
          </w:p>
          <w:p w14:paraId="520B4FE8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d) wskaźnik T-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17055FF5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e) wskaźnik Z-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</w:p>
          <w:p w14:paraId="443F0A54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f) zmiana procentowa w stosunku do  </w:t>
            </w:r>
          </w:p>
          <w:p w14:paraId="417C0791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   masy szczytowej, </w:t>
            </w:r>
          </w:p>
          <w:p w14:paraId="4E3B115A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g) zmiana procentowa w stosunku do </w:t>
            </w:r>
          </w:p>
          <w:p w14:paraId="4B159511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   rówieśników, </w:t>
            </w:r>
          </w:p>
          <w:p w14:paraId="1604922F" w14:textId="77777777" w:rsidR="00BF4FED" w:rsidRPr="004607BF" w:rsidRDefault="00BF4FED" w:rsidP="00BF4FED">
            <w:pPr>
              <w:tabs>
                <w:tab w:val="left" w:pos="1200"/>
              </w:tabs>
              <w:rPr>
                <w:rFonts w:ascii="Verdana" w:hAnsi="Verdana" w:cstheme="minorHAnsi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8C2DB" w14:textId="05DAF5A4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0824B8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  <w:r w:rsidRPr="004607BF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3175ACE4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09086406" w14:textId="77777777" w:rsidTr="00BF4FED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3B4A2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5B88A" w14:textId="77777777" w:rsidR="00BF4FED" w:rsidRPr="004607BF" w:rsidRDefault="00BF4FED" w:rsidP="00BF4FED">
            <w:pPr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Cs/>
                <w:sz w:val="18"/>
                <w:szCs w:val="18"/>
              </w:rPr>
              <w:t xml:space="preserve">Obie szyjki kości </w:t>
            </w:r>
            <w:proofErr w:type="gramStart"/>
            <w:r w:rsidRPr="004607BF">
              <w:rPr>
                <w:rFonts w:ascii="Verdana" w:hAnsi="Verdana" w:cstheme="minorHAnsi"/>
                <w:bCs/>
                <w:sz w:val="18"/>
                <w:szCs w:val="18"/>
              </w:rPr>
              <w:t>udowej :</w:t>
            </w:r>
            <w:proofErr w:type="gramEnd"/>
          </w:p>
          <w:p w14:paraId="6765728D" w14:textId="77777777" w:rsidR="00BF4FED" w:rsidRPr="004607BF" w:rsidRDefault="00BF4FED" w:rsidP="00BF4FED">
            <w:pPr>
              <w:numPr>
                <w:ilvl w:val="0"/>
                <w:numId w:val="12"/>
              </w:numPr>
              <w:tabs>
                <w:tab w:val="num" w:pos="335"/>
              </w:tabs>
              <w:ind w:left="335" w:hanging="283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BMD</w:t>
            </w:r>
          </w:p>
          <w:p w14:paraId="39E8850F" w14:textId="77777777" w:rsidR="00BF4FED" w:rsidRPr="004607BF" w:rsidRDefault="00BF4FED" w:rsidP="00BF4FED">
            <w:pPr>
              <w:numPr>
                <w:ilvl w:val="0"/>
                <w:numId w:val="12"/>
              </w:numPr>
              <w:tabs>
                <w:tab w:val="num" w:pos="335"/>
              </w:tabs>
              <w:ind w:left="335" w:hanging="283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BMC</w:t>
            </w:r>
          </w:p>
          <w:p w14:paraId="28455144" w14:textId="77777777" w:rsidR="00BF4FED" w:rsidRPr="004607BF" w:rsidRDefault="00BF4FED" w:rsidP="00BF4FED">
            <w:pPr>
              <w:numPr>
                <w:ilvl w:val="0"/>
                <w:numId w:val="12"/>
              </w:numPr>
              <w:tabs>
                <w:tab w:val="num" w:pos="335"/>
              </w:tabs>
              <w:ind w:left="335" w:hanging="283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powierzchnia dla krętarza, trzpienia, </w:t>
            </w:r>
            <w:proofErr w:type="gramStart"/>
            <w:r w:rsidRPr="004607BF">
              <w:rPr>
                <w:rFonts w:ascii="Verdana" w:hAnsi="Verdana" w:cstheme="minorHAnsi"/>
                <w:sz w:val="18"/>
                <w:szCs w:val="18"/>
              </w:rPr>
              <w:t>szyjki,</w:t>
            </w:r>
            <w:proofErr w:type="gram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oraz dla „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total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>”</w:t>
            </w:r>
          </w:p>
          <w:p w14:paraId="064B55C1" w14:textId="77777777" w:rsidR="00BF4FED" w:rsidRPr="004607BF" w:rsidRDefault="00BF4FED" w:rsidP="00BF4FED">
            <w:pPr>
              <w:numPr>
                <w:ilvl w:val="0"/>
                <w:numId w:val="12"/>
              </w:numPr>
              <w:tabs>
                <w:tab w:val="num" w:pos="335"/>
              </w:tabs>
              <w:ind w:left="335" w:hanging="283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wskaźnik T-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</w:p>
          <w:p w14:paraId="13257B7F" w14:textId="77777777" w:rsidR="00BF4FED" w:rsidRPr="004607BF" w:rsidRDefault="00BF4FED" w:rsidP="00BF4FED">
            <w:pPr>
              <w:numPr>
                <w:ilvl w:val="0"/>
                <w:numId w:val="12"/>
              </w:numPr>
              <w:tabs>
                <w:tab w:val="num" w:pos="335"/>
              </w:tabs>
              <w:ind w:left="335" w:hanging="283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wskaźnik Z-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</w:p>
          <w:p w14:paraId="1FFF7B53" w14:textId="77777777" w:rsidR="00BF4FED" w:rsidRPr="004607BF" w:rsidRDefault="00BF4FED" w:rsidP="00BF4FED">
            <w:pPr>
              <w:numPr>
                <w:ilvl w:val="0"/>
                <w:numId w:val="12"/>
              </w:numPr>
              <w:tabs>
                <w:tab w:val="num" w:pos="335"/>
              </w:tabs>
              <w:ind w:left="335" w:hanging="283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zmiana procentowa w stosunku do rówieśników</w:t>
            </w:r>
          </w:p>
          <w:p w14:paraId="272ADDDF" w14:textId="77777777" w:rsidR="00BF4FED" w:rsidRPr="004607BF" w:rsidRDefault="00BF4FED" w:rsidP="00BF4FED">
            <w:pPr>
              <w:numPr>
                <w:ilvl w:val="0"/>
                <w:numId w:val="12"/>
              </w:numPr>
              <w:tabs>
                <w:tab w:val="num" w:pos="335"/>
              </w:tabs>
              <w:ind w:left="335" w:hanging="283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zmiana procentowa w stosunku do masy szczytowej</w:t>
            </w:r>
          </w:p>
          <w:p w14:paraId="328E68C3" w14:textId="77777777" w:rsidR="00BF4FED" w:rsidRPr="004607BF" w:rsidRDefault="00BF4FED" w:rsidP="00BF4FED">
            <w:pPr>
              <w:numPr>
                <w:ilvl w:val="0"/>
                <w:numId w:val="12"/>
              </w:numPr>
              <w:tabs>
                <w:tab w:val="num" w:pos="335"/>
              </w:tabs>
              <w:ind w:left="335" w:hanging="283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podwójne biodro bez zmiany ułożenia pacjenta w czasie jednego badania</w:t>
            </w:r>
          </w:p>
          <w:p w14:paraId="1C55D5E3" w14:textId="77777777" w:rsidR="00BF4FED" w:rsidRPr="004607BF" w:rsidRDefault="00BF4FED" w:rsidP="00BF4FED">
            <w:pPr>
              <w:numPr>
                <w:ilvl w:val="0"/>
                <w:numId w:val="12"/>
              </w:numPr>
              <w:tabs>
                <w:tab w:val="num" w:pos="335"/>
              </w:tabs>
              <w:ind w:left="335" w:hanging="283"/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różnice między szyjkami i wartościach BMD, BMC, powierzchnia krętarza, trzpienia szyjki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B1F29" w14:textId="3C0E4D86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E73C7C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31D0A8CB" w14:textId="77777777" w:rsidTr="00BF4FED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20124" w14:textId="77777777" w:rsidR="00BF4FED" w:rsidRPr="004607BF" w:rsidRDefault="00BF4FED" w:rsidP="00BF4FED">
            <w:pPr>
              <w:ind w:left="11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27614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Kręgosłup lędźwiowy w projekcji AP (BMD, BMC oraz powierzchnia, wskaźnik T-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>, wskaźnik Z-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>, zmiana procentowa w stosunku do masy szczytowej, zmiana procentowa w stosunku do rówieśników)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8B95B" w14:textId="0BC0E952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8B949A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2DCECB51" w14:textId="77777777" w:rsidTr="00B47363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84D36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6E5CF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Pomiar gęstości całego kośćca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B2432" w14:textId="6B97AFF4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785E85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4244488B" w14:textId="77777777" w:rsidTr="00B47363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AA256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2BB1F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Oprogramowanie do pomiaru gęstości w obrębie przedramienia (BMD, BMC oraz powierzchnia, wskaźnik T-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>, wskaźnik Z-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>, zmiana procentowa w stosunku do masy szczytowej, zmiana procentowa w stosunku do rówieśników)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17419" w14:textId="35461C5A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FA2C5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7F345E" w14:paraId="5E0E4563" w14:textId="77777777" w:rsidTr="00B47363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FC254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EF572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Pomiar składu ciała z wyznaczeniem ilości tkanki tłuszczowej, masy mięśniowej, masy kostnej dla poszczególnych kończyn (z podziałem na lewa stronę i prawa stroną) oraz osobno dla obszarów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Gynoid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i Android. Możliwość definiowania przez użytkownika regionu pomiaru.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AE397" w14:textId="5DBA7426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09F525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0E2EA8" w14:paraId="1A4EFEC2" w14:textId="77777777" w:rsidTr="00B47363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8C29A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E6D67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Opcja pediatryczna:</w:t>
            </w:r>
          </w:p>
          <w:p w14:paraId="71D7F1FD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a)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ab/>
              <w:t>kręgosłup lędźwiowy AP,</w:t>
            </w:r>
          </w:p>
          <w:p w14:paraId="046B7492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b)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ab/>
              <w:t>BMC oraz powierzchnia,</w:t>
            </w:r>
          </w:p>
          <w:p w14:paraId="2963A9AE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c)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ab/>
              <w:t>BMD,</w:t>
            </w:r>
          </w:p>
          <w:p w14:paraId="6F714B3B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d)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ab/>
              <w:t>wskaźnik Z-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>,</w:t>
            </w:r>
          </w:p>
          <w:p w14:paraId="685FFA29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e)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ab/>
              <w:t>zmiana procentowa w stosunku do rówieśników.</w:t>
            </w:r>
          </w:p>
          <w:p w14:paraId="450CEE1B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Dane referencyjne (baza danych z normami dla populacji dzieci i młodzieży) – oddzielnie dla dziewcząt i chłopców, umożliwiająca porównanie skanowanego wyniku z normą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75B47" w14:textId="5506AC45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1561A0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0E2EA8" w14:paraId="221638A8" w14:textId="77777777" w:rsidTr="00C06290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024D4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1B661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Opcja pediatryczna:</w:t>
            </w:r>
          </w:p>
          <w:p w14:paraId="0D1E6728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a)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ab/>
              <w:t>całe ciało z analizą powierzchni kośćca,</w:t>
            </w:r>
          </w:p>
          <w:p w14:paraId="62681AAF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b)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ab/>
              <w:t>BMC,</w:t>
            </w:r>
          </w:p>
          <w:p w14:paraId="4ED48B68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c)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ab/>
              <w:t>BMD,</w:t>
            </w:r>
          </w:p>
          <w:p w14:paraId="4AF4FAD5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d)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ab/>
              <w:t>skład ciała u dzieci.</w:t>
            </w:r>
          </w:p>
          <w:p w14:paraId="3347A65B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Dane referencyjne (baza danych z normami dla populacji dzieci i młodzieży) – oddzielnie 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lastRenderedPageBreak/>
              <w:t>dla dziewcząt i chłopców, umożliwiająca porównanie skanowanego wyniku z normą.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5B6E4" w14:textId="03821447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062DC1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0E2EA8" w14:paraId="296D71CE" w14:textId="77777777" w:rsidTr="00C06290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83BF4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0DEF4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Możliwość Morfometrii oraz BMD kręgosłupa bocznego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5EBEB" w14:textId="30508936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D84F77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0E2EA8" w14:paraId="3064B164" w14:textId="77777777" w:rsidTr="00C06290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3C320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193EB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Możliwość oceny morfometrii </w:t>
            </w:r>
            <w:proofErr w:type="gramStart"/>
            <w:r w:rsidRPr="004607BF">
              <w:rPr>
                <w:rFonts w:ascii="Verdana" w:hAnsi="Verdana" w:cstheme="minorHAnsi"/>
                <w:sz w:val="18"/>
                <w:szCs w:val="18"/>
              </w:rPr>
              <w:t>kręgów  projekcji</w:t>
            </w:r>
            <w:proofErr w:type="gram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AP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46A6C" w14:textId="1CACB6E9" w:rsidR="00BF4FED" w:rsidRPr="004607BF" w:rsidRDefault="00BF4FED" w:rsidP="0040223E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939915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0E2EA8" w14:paraId="134829BB" w14:textId="77777777" w:rsidTr="00C06290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61F59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D60E3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W trybie morfometrii automatyczne oznaczanie kręgów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AD036" w14:textId="28F1B767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B28940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2FA7CCBC" w14:textId="77777777" w:rsidTr="00C06290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5975E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CBFFA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Wyznaczania wskaźnika BMI oraz odniesienie jego wartości do klasyfikacji WHO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D9098" w14:textId="5C15AB14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C0E898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10F341FC" w14:textId="77777777" w:rsidTr="00BF4FED">
        <w:trPr>
          <w:cantSplit/>
          <w:trHeight w:val="423"/>
          <w:jc w:val="center"/>
        </w:trPr>
        <w:tc>
          <w:tcPr>
            <w:tcW w:w="99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3662701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INNE FUNKCJE UŻYTKOWE</w:t>
            </w:r>
          </w:p>
        </w:tc>
      </w:tr>
      <w:tr w:rsidR="00BF4FED" w14:paraId="2CFC97B4" w14:textId="77777777" w:rsidTr="00E07839">
        <w:trPr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7143F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1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09B76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napToGrid w:val="0"/>
                <w:color w:val="000000"/>
                <w:sz w:val="18"/>
                <w:szCs w:val="18"/>
              </w:rPr>
              <w:t xml:space="preserve">Konfigurowalny przez użytkownika </w:t>
            </w:r>
            <w:proofErr w:type="gramStart"/>
            <w:r w:rsidRPr="004607BF">
              <w:rPr>
                <w:rFonts w:ascii="Verdana" w:hAnsi="Verdana" w:cstheme="minorHAnsi"/>
                <w:snapToGrid w:val="0"/>
                <w:color w:val="000000"/>
                <w:sz w:val="18"/>
                <w:szCs w:val="18"/>
              </w:rPr>
              <w:t>wyglądu  raportu</w:t>
            </w:r>
            <w:proofErr w:type="gramEnd"/>
            <w:r w:rsidRPr="004607BF">
              <w:rPr>
                <w:rFonts w:ascii="Verdana" w:hAnsi="Verdana" w:cstheme="minorHAnsi"/>
                <w:snapToGrid w:val="0"/>
                <w:color w:val="000000"/>
                <w:sz w:val="18"/>
                <w:szCs w:val="18"/>
              </w:rPr>
              <w:t xml:space="preserve"> z badania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8F142" w14:textId="75AB7675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BC4054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023C110A" w14:textId="77777777" w:rsidTr="00E07839">
        <w:trPr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4AF47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1D4B" w14:textId="77777777" w:rsidR="00BF4FED" w:rsidRPr="004607BF" w:rsidRDefault="00BF4FED" w:rsidP="00BF4FED">
            <w:pPr>
              <w:tabs>
                <w:tab w:val="left" w:pos="851"/>
              </w:tabs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Maksymalna waga </w:t>
            </w:r>
            <w:proofErr w:type="gramStart"/>
            <w:r w:rsidRPr="004607BF">
              <w:rPr>
                <w:rFonts w:ascii="Verdana" w:hAnsi="Verdana" w:cstheme="minorHAnsi"/>
                <w:sz w:val="18"/>
                <w:szCs w:val="18"/>
              </w:rPr>
              <w:t>pacjenta  dopuszczona</w:t>
            </w:r>
            <w:proofErr w:type="gram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przez oprogramowanie aparatu - min. </w:t>
            </w:r>
            <w:smartTag w:uri="urn:schemas-microsoft-com:office:smarttags" w:element="metricconverter">
              <w:smartTagPr>
                <w:attr w:name="ProductID" w:val="150 kg"/>
              </w:smartTagPr>
              <w:r w:rsidRPr="004607BF">
                <w:rPr>
                  <w:rFonts w:ascii="Verdana" w:hAnsi="Verdana" w:cstheme="minorHAnsi"/>
                  <w:sz w:val="18"/>
                  <w:szCs w:val="18"/>
                </w:rPr>
                <w:t>150 kg</w:t>
              </w:r>
            </w:smartTag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1B2AC" w14:textId="4DEC5BC4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01D97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3F0BE0DB" w14:textId="77777777" w:rsidTr="00E07839">
        <w:trPr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5551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3F678" w14:textId="77777777" w:rsidR="00BF4FED" w:rsidRPr="004607BF" w:rsidRDefault="00BF4FED" w:rsidP="00BF4FED">
            <w:pPr>
              <w:rPr>
                <w:rFonts w:ascii="Verdana" w:hAnsi="Verdana" w:cstheme="minorHAnsi"/>
                <w:snapToGrid w:val="0"/>
                <w:color w:val="000000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Możliwość tworzenia wielu baz danych, z przydzieleniem nazwy każdej z nich (nazwa programu badawczego, nazwisko użytkownika, typy schorzeń, itp.)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3359B" w14:textId="7F895261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DC573F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74893D47" w14:textId="77777777" w:rsidTr="00E07839">
        <w:trPr>
          <w:jc w:val="center"/>
        </w:trPr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E0AA6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4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B5B06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Możliwość obliczania indywidualnego 10-letniego ryzyka złamania (ryzyko jakiegokolwiek złamania oraz ryzyko złamania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bkku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) na podstawie algorytmu FRAXTM wg wytycznych WHO, z zastosowaniem metody Johna A.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Kanisa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(z uwzględnieniem wieku, czynników ryzyka i BMD)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FAB0E" w14:textId="522A4DD2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E20291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D856CD" w14:paraId="16574A92" w14:textId="77777777" w:rsidTr="00E07839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0CD5F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383A9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Stacja robocza obejmująca:</w:t>
            </w:r>
          </w:p>
          <w:p w14:paraId="526ED58B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Fabrycznie nowy system komputerowy na stoliku w klasie PC, </w:t>
            </w:r>
          </w:p>
          <w:p w14:paraId="01030599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Zainstalowany system operacyjny w pełni zgodny z 64-bitową wersją środowiska uruchomieniowego .NET 4.6.1. Nie dopuszcza się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wirtualizatorów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typu WINE do uruchomienia .NET 4.6.1 Framework. System musi wspierać zarządzanie za pomocą PowerShell. Data wydania dystrybucji systemu nie może być starsza niż 2019 rok</w:t>
            </w:r>
          </w:p>
          <w:p w14:paraId="6BFA78B9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Dysk twardy z prędkością odczytu danych nie mniejszą niż 420 MB/s oraz prędkością zapisu danych nie mniejszą niż 420MB/s</w:t>
            </w:r>
          </w:p>
          <w:p w14:paraId="02F64F9E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Zintegrowana karta graficzna, karta sieciowa 10/100/1000 Ethernet RJ45</w:t>
            </w:r>
          </w:p>
          <w:p w14:paraId="3E590989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Min. 8GB o maksymalnej dostępnej częstotliwości taktowania dostępnej dla procesora.</w:t>
            </w:r>
          </w:p>
          <w:p w14:paraId="78CF9BE5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Monitor min. </w:t>
            </w:r>
            <w:proofErr w:type="gramStart"/>
            <w:r w:rsidRPr="004607BF">
              <w:rPr>
                <w:rFonts w:ascii="Verdana" w:hAnsi="Verdana" w:cstheme="minorHAnsi"/>
                <w:sz w:val="18"/>
                <w:szCs w:val="18"/>
              </w:rPr>
              <w:t>19”LED</w:t>
            </w:r>
            <w:proofErr w:type="gramEnd"/>
          </w:p>
          <w:p w14:paraId="4F9C89D7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Drukarka kolorowa laserowa do wydruku raportów wraz dodatkowym, pełnym (nie startowym, nie demo) kompletem wkładów drukujących producenta drukarki</w:t>
            </w:r>
          </w:p>
          <w:p w14:paraId="4360DB71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F4BD3" w14:textId="3BF8516C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CCC53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D856CD" w14:paraId="4A85A585" w14:textId="77777777" w:rsidTr="00CF6128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48248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6C352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Komplet akcesoriów w zestawie z aparatem- wg zaleceń producenta</w:t>
            </w:r>
          </w:p>
          <w:p w14:paraId="4ECFFF59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3DC04" w14:textId="405877CC" w:rsidR="00BF4FED" w:rsidRPr="004607BF" w:rsidRDefault="00BF4FED" w:rsidP="00CF612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9C4166" w14:textId="77777777" w:rsidR="00BF4FED" w:rsidRPr="004607BF" w:rsidRDefault="00BF4FED" w:rsidP="00CF612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D856CD" w14:paraId="103D9F3E" w14:textId="77777777" w:rsidTr="00CF6128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BB364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DAF2A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Zainstalowany moduł DICOM 3.0 umożliwiający zapis i przesyłanie obrazów w standardzie DICOM,</w:t>
            </w:r>
          </w:p>
          <w:p w14:paraId="25859BB3" w14:textId="77777777" w:rsidR="00BF4FED" w:rsidRPr="004607BF" w:rsidRDefault="00BF4FED" w:rsidP="00BF4FED">
            <w:pPr>
              <w:pBdr>
                <w:bottom w:val="single" w:sz="4" w:space="6" w:color="CECECE"/>
              </w:pBd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Oprogramowanie do przesyłania obrazów i danych zgodnych z standardem DICOM 3 (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Dicom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Storage,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Dicom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Print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,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Worklist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) wszystkie niezbędne licencje muszą być zaimplementowane w momencie montażu urządzenia i podłączone do systemu PACS </w:t>
            </w:r>
            <w:r w:rsidRPr="004607BF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WCZ SPZOZ w zakresie DICOM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Worklist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i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Store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2F9C6" w14:textId="1CF8A59A" w:rsidR="00BF4FED" w:rsidRPr="004607BF" w:rsidRDefault="00BF4FED" w:rsidP="00CF612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24C8F2" w14:textId="77777777" w:rsidR="00BF4FED" w:rsidRPr="004607BF" w:rsidRDefault="00BF4FED" w:rsidP="00CF6128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14:paraId="17F2B29C" w14:textId="77777777" w:rsidTr="00BF4FED">
        <w:trPr>
          <w:jc w:val="center"/>
        </w:trPr>
        <w:tc>
          <w:tcPr>
            <w:tcW w:w="993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712D143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MOŻLIWOŚCI ROZBUDOWY APARATU (NA DZIEŃ SKŁADANIA OFERT)</w:t>
            </w:r>
          </w:p>
        </w:tc>
      </w:tr>
      <w:tr w:rsidR="00BF4FED" w14:paraId="530EC2C3" w14:textId="77777777" w:rsidTr="00F43E4D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AD826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2FC9A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sz w:val="18"/>
                <w:szCs w:val="18"/>
              </w:rPr>
              <w:t>Współpraca oferowanego densytometru z aplikacją do pomiaru TBS (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Trabecular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Bone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proofErr w:type="spellStart"/>
            <w:r w:rsidRPr="004607BF">
              <w:rPr>
                <w:rFonts w:ascii="Verdana" w:hAnsi="Verdana" w:cstheme="minorHAnsi"/>
                <w:sz w:val="18"/>
                <w:szCs w:val="18"/>
              </w:rPr>
              <w:t>Score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) – oprogramowanie TBS </w:t>
            </w:r>
            <w:proofErr w:type="spellStart"/>
            <w:proofErr w:type="gramStart"/>
            <w:r w:rsidRPr="004607BF">
              <w:rPr>
                <w:rFonts w:ascii="Verdana" w:hAnsi="Verdana" w:cstheme="minorHAnsi"/>
                <w:sz w:val="18"/>
                <w:szCs w:val="18"/>
              </w:rPr>
              <w:t>iNsght</w:t>
            </w:r>
            <w:proofErr w:type="spell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 -</w:t>
            </w:r>
            <w:proofErr w:type="gramEnd"/>
            <w:r w:rsidRPr="004607BF">
              <w:rPr>
                <w:rFonts w:ascii="Verdana" w:hAnsi="Verdana" w:cstheme="minorHAnsi"/>
                <w:sz w:val="18"/>
                <w:szCs w:val="18"/>
              </w:rPr>
              <w:t xml:space="preserve"> aplikacja zintegrowana z oprogramowaniem obsługującym densytometr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16EC5" w14:textId="5A2CA3E8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2358B3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AA04B5" w14:paraId="12E2FF8F" w14:textId="77777777" w:rsidTr="00F43E4D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296B7" w14:textId="77777777" w:rsidR="00BF4FED" w:rsidRPr="004607BF" w:rsidRDefault="00BF4FED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CEF8E" w14:textId="77777777" w:rsidR="00BF4FED" w:rsidRPr="004607BF" w:rsidRDefault="00BF4FED" w:rsidP="00BF4FED">
            <w:pPr>
              <w:pStyle w:val="Akapitzlist"/>
              <w:snapToGrid w:val="0"/>
              <w:spacing w:before="120"/>
              <w:ind w:left="0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Zintegrowane oprogramowanie do pomiaru ilości tkanki tłuszczowej trzewnej (VAT-</w:t>
            </w:r>
            <w:proofErr w:type="spellStart"/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Visceral</w:t>
            </w:r>
            <w:proofErr w:type="spellEnd"/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Adipose</w:t>
            </w:r>
            <w:proofErr w:type="spellEnd"/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Tissue</w:t>
            </w:r>
            <w:proofErr w:type="spellEnd"/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) – wyznaczane w jednostkach masa (g) i objętość (cm</w:t>
            </w:r>
            <w:r w:rsidRPr="004607BF">
              <w:rPr>
                <w:rFonts w:ascii="Verdana" w:hAnsi="Verdana" w:cstheme="minorHAnsi"/>
                <w:color w:val="000000"/>
                <w:sz w:val="18"/>
                <w:szCs w:val="18"/>
                <w:vertAlign w:val="superscript"/>
              </w:rPr>
              <w:t>3</w:t>
            </w:r>
            <w:r w:rsidRPr="004607BF">
              <w:rPr>
                <w:rFonts w:ascii="Verdana" w:hAnsi="Verdana" w:cstheme="minorHAnsi"/>
                <w:color w:val="000000"/>
                <w:sz w:val="18"/>
                <w:szCs w:val="18"/>
              </w:rPr>
              <w:t>). Monitorowanie zmian/trendów tłuszczu trzewnego w odstępach czasu.</w:t>
            </w:r>
          </w:p>
          <w:p w14:paraId="552EE4D7" w14:textId="77777777" w:rsidR="00BF4FED" w:rsidRPr="004607BF" w:rsidRDefault="00BF4FED" w:rsidP="00BF4FE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DE62C" w14:textId="7D98DE8F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Calibri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43E633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AA04B5" w14:paraId="26CA4CA0" w14:textId="77777777" w:rsidTr="00BF4FED">
        <w:trPr>
          <w:jc w:val="center"/>
        </w:trPr>
        <w:tc>
          <w:tcPr>
            <w:tcW w:w="993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EEAF51E" w14:textId="12381992" w:rsidR="00BF4FED" w:rsidRPr="004607BF" w:rsidRDefault="00BF4FED" w:rsidP="00BF4FED">
            <w:pPr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bCs/>
                <w:iCs/>
                <w:sz w:val="18"/>
                <w:szCs w:val="18"/>
              </w:rPr>
              <w:t xml:space="preserve">INNE </w:t>
            </w:r>
          </w:p>
        </w:tc>
      </w:tr>
      <w:tr w:rsidR="00BF4FED" w:rsidRPr="00AA04B5" w14:paraId="4738D9AC" w14:textId="77777777" w:rsidTr="00F439D3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8F838" w14:textId="22FD30DA" w:rsidR="00BF4FED" w:rsidRPr="004607BF" w:rsidRDefault="00710532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4607BF">
              <w:rPr>
                <w:rFonts w:ascii="Verdana" w:hAnsi="Verdana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76A90" w14:textId="73719C71" w:rsidR="00BF4FED" w:rsidRPr="004607BF" w:rsidRDefault="00BF4FED" w:rsidP="00BF4FED">
            <w:pPr>
              <w:pStyle w:val="Akapitzlist"/>
              <w:snapToGrid w:val="0"/>
              <w:spacing w:before="120"/>
              <w:ind w:left="0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607BF">
              <w:rPr>
                <w:rFonts w:ascii="Verdana" w:hAnsi="Verdana" w:cs="Arial"/>
                <w:sz w:val="18"/>
                <w:szCs w:val="18"/>
              </w:rPr>
              <w:t xml:space="preserve">Gwarancja na cały aparat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FF792" w14:textId="09CA2167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/>
                <w:b/>
                <w:sz w:val="18"/>
                <w:szCs w:val="18"/>
              </w:rPr>
              <w:t>TAK (podać oferowany okres gwarancji)</w:t>
            </w:r>
            <w:r w:rsidRPr="004607BF">
              <w:rPr>
                <w:rFonts w:ascii="Verdana" w:hAnsi="Verdana"/>
                <w:b/>
                <w:sz w:val="18"/>
                <w:szCs w:val="18"/>
              </w:rPr>
              <w:br/>
            </w:r>
            <w:r w:rsidRPr="004607BF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(zgodnie z ofertą Wykonawcy-kryterium nr 3 oceny ofert)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D96D0A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607BF" w:rsidRPr="00AA04B5" w14:paraId="3A1B881E" w14:textId="77777777" w:rsidTr="00F439D3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E37BC" w14:textId="63BC2B2C" w:rsidR="004607BF" w:rsidRPr="004607BF" w:rsidRDefault="004607BF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D1A9D" w14:textId="2B61D885" w:rsidR="004607BF" w:rsidRPr="004607BF" w:rsidRDefault="004607BF" w:rsidP="00BF4FED">
            <w:pPr>
              <w:pStyle w:val="Akapitzlist"/>
              <w:snapToGrid w:val="0"/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Certyfikat CE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ADEF0" w14:textId="77777777" w:rsidR="004607BF" w:rsidRPr="003B33A0" w:rsidRDefault="004607BF" w:rsidP="004607B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B33A0">
              <w:rPr>
                <w:rFonts w:ascii="Verdana" w:hAnsi="Verdana" w:cs="Arial"/>
                <w:sz w:val="18"/>
                <w:szCs w:val="18"/>
              </w:rPr>
              <w:t>TAK</w:t>
            </w:r>
          </w:p>
          <w:p w14:paraId="1692C17E" w14:textId="60D78C28" w:rsidR="004607BF" w:rsidRPr="004607BF" w:rsidRDefault="004607BF" w:rsidP="004607B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B33A0">
              <w:rPr>
                <w:rFonts w:ascii="Verdana" w:hAnsi="Verdana" w:cs="Arial"/>
                <w:b/>
                <w:bCs/>
                <w:color w:val="548DD4" w:themeColor="text2" w:themeTint="99"/>
                <w:sz w:val="18"/>
                <w:szCs w:val="18"/>
              </w:rPr>
              <w:t>(dokumenty załączyć do oferty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15CB0E" w14:textId="77777777" w:rsidR="004607BF" w:rsidRPr="004607BF" w:rsidRDefault="004607BF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AA04B5" w14:paraId="4BEC1441" w14:textId="77777777" w:rsidTr="00F439D3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7CB8" w14:textId="28D4A2E5" w:rsidR="00BF4FED" w:rsidRPr="004607BF" w:rsidRDefault="004607BF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F7D1B" w14:textId="2A70157B" w:rsidR="00BF4FED" w:rsidRPr="004607BF" w:rsidRDefault="00BF4FED" w:rsidP="00BF4FED">
            <w:pPr>
              <w:pStyle w:val="Akapitzlist"/>
              <w:snapToGrid w:val="0"/>
              <w:spacing w:before="120"/>
              <w:ind w:left="0"/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4607BF">
              <w:rPr>
                <w:rFonts w:ascii="Verdana" w:hAnsi="Verdana" w:cs="Arial"/>
                <w:sz w:val="18"/>
                <w:szCs w:val="18"/>
              </w:rPr>
              <w:t>Instrukcja obsługi w języku polskim (należy dostarczyć wraz dostawą aparatu)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F4714" w14:textId="28F4D7D7" w:rsidR="00BF4FED" w:rsidRPr="004607BF" w:rsidRDefault="00BF4FED" w:rsidP="00BF4FE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4607BF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D6B50A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F4FED" w:rsidRPr="00AA04B5" w14:paraId="4F563D40" w14:textId="77777777" w:rsidTr="00F439D3">
        <w:trPr>
          <w:jc w:val="center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06FAA" w14:textId="63E93809" w:rsidR="00BF4FED" w:rsidRPr="004607BF" w:rsidRDefault="004607BF" w:rsidP="00BF4FED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87C39" w14:textId="77777777" w:rsidR="00BF4FED" w:rsidRPr="004607BF" w:rsidRDefault="00BF4FED" w:rsidP="00BF4FED">
            <w:pPr>
              <w:rPr>
                <w:rFonts w:ascii="Verdana" w:hAnsi="Verdana" w:cs="Arial"/>
                <w:sz w:val="18"/>
                <w:szCs w:val="18"/>
              </w:rPr>
            </w:pPr>
            <w:r w:rsidRPr="004607BF">
              <w:rPr>
                <w:rFonts w:ascii="Verdana" w:hAnsi="Verdana" w:cs="Arial"/>
                <w:sz w:val="18"/>
                <w:szCs w:val="18"/>
              </w:rPr>
              <w:t>Przeszkolenie personelu medycznego w zakresie obsługi i konserwacji w miejscu użytkowania sprzętu.</w:t>
            </w:r>
          </w:p>
          <w:p w14:paraId="25589810" w14:textId="42528813" w:rsidR="00BF4FED" w:rsidRPr="004607BF" w:rsidRDefault="00BF4FED" w:rsidP="00BF4FED">
            <w:pPr>
              <w:pStyle w:val="Akapitzlist"/>
              <w:snapToGrid w:val="0"/>
              <w:spacing w:before="120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4607BF">
              <w:rPr>
                <w:rFonts w:ascii="Verdana" w:hAnsi="Verdana" w:cs="Arial"/>
                <w:sz w:val="18"/>
                <w:szCs w:val="18"/>
              </w:rPr>
              <w:t>/ Minimum 2 terminy szkoleń/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E6658" w14:textId="04BBA4F8" w:rsidR="00BF4FED" w:rsidRPr="004607BF" w:rsidRDefault="00BF4FED" w:rsidP="00BF4FE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607BF">
              <w:rPr>
                <w:rFonts w:ascii="Verdana" w:hAnsi="Verdana" w:cs="Arial"/>
                <w:sz w:val="18"/>
                <w:szCs w:val="18"/>
              </w:rPr>
              <w:t xml:space="preserve">TAK 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391137" w14:textId="77777777" w:rsidR="00BF4FED" w:rsidRPr="004607BF" w:rsidRDefault="00BF4FED" w:rsidP="00BF4FE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3953CA33" w14:textId="5E80C83D" w:rsidR="00BF4FED" w:rsidRDefault="00BF4FED" w:rsidP="00AE34B5">
      <w:pPr>
        <w:rPr>
          <w:rFonts w:asciiTheme="majorHAnsi" w:hAnsiTheme="majorHAnsi" w:cs="Arial"/>
          <w:sz w:val="22"/>
          <w:szCs w:val="22"/>
        </w:rPr>
      </w:pPr>
    </w:p>
    <w:p w14:paraId="7C669E25" w14:textId="77777777" w:rsidR="007C6288" w:rsidRDefault="007C6288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2137CBD0" w14:textId="77777777" w:rsidR="004A7A72" w:rsidRPr="004A7A72" w:rsidRDefault="00FD732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bookmarkStart w:id="0" w:name="_Hlk507061846"/>
      <w:r w:rsidRPr="004A7A72">
        <w:rPr>
          <w:rFonts w:ascii="Verdana" w:hAnsi="Verdana" w:cs="Verdana"/>
          <w:sz w:val="18"/>
          <w:szCs w:val="18"/>
        </w:rPr>
        <w:t>Na potwierdzenie</w:t>
      </w:r>
      <w:r w:rsidR="004A7A72" w:rsidRPr="004A7A72">
        <w:rPr>
          <w:rFonts w:ascii="Verdana" w:hAnsi="Verdana" w:cs="Verdana"/>
          <w:sz w:val="18"/>
          <w:szCs w:val="18"/>
        </w:rPr>
        <w:t xml:space="preserve"> powyższych deklaracji do oferty załączam:</w:t>
      </w:r>
    </w:p>
    <w:p w14:paraId="7492B723" w14:textId="77777777" w:rsidR="004A7A72" w:rsidRDefault="004A7A7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14:paraId="3B88ABFB" w14:textId="77777777" w:rsidR="0014471D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</w:t>
      </w:r>
    </w:p>
    <w:p w14:paraId="053A962D" w14:textId="77777777" w:rsidR="0014471D" w:rsidRPr="004A7A72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bookmarkEnd w:id="0"/>
    <w:p w14:paraId="339FF598" w14:textId="77777777" w:rsidR="00C93304" w:rsidRDefault="00C93304" w:rsidP="00C93304">
      <w:pPr>
        <w:spacing w:line="360" w:lineRule="auto"/>
        <w:ind w:left="426" w:right="-112"/>
        <w:jc w:val="both"/>
        <w:rPr>
          <w:rFonts w:ascii="Verdana" w:hAnsi="Verdana" w:cs="Verdana"/>
          <w:b/>
          <w:sz w:val="18"/>
          <w:szCs w:val="18"/>
        </w:rPr>
      </w:pPr>
    </w:p>
    <w:p w14:paraId="1A9D995E" w14:textId="77777777" w:rsidR="00C93304" w:rsidRPr="008760E0" w:rsidRDefault="00C93304" w:rsidP="00C93304">
      <w:pPr>
        <w:spacing w:line="360" w:lineRule="auto"/>
        <w:ind w:left="426" w:right="-112"/>
        <w:jc w:val="both"/>
        <w:rPr>
          <w:rFonts w:ascii="Verdana" w:hAnsi="Verdana" w:cs="Verdana"/>
          <w:i/>
          <w:color w:val="FF0000"/>
          <w:sz w:val="18"/>
          <w:szCs w:val="18"/>
          <w:u w:val="single"/>
        </w:rPr>
      </w:pPr>
      <w:r w:rsidRPr="008760E0">
        <w:rPr>
          <w:rFonts w:ascii="Verdana" w:hAnsi="Verdana" w:cs="Verdana"/>
          <w:i/>
          <w:color w:val="FF0000"/>
          <w:sz w:val="18"/>
          <w:szCs w:val="18"/>
        </w:rPr>
        <w:t xml:space="preserve">Należy wymienić załączone dokumenty tj. np. odpowiednie katalogi producenta (zawierające numery katalogowe oferowanych produktów) lub nazwy własne w braku katalogów, foldery, wyciągi z instrukcji lub materiały źródłowe producenta/oświadczenia producenta w czytelny i jasny sposób </w:t>
      </w:r>
      <w:proofErr w:type="gramStart"/>
      <w:r w:rsidRPr="008760E0">
        <w:rPr>
          <w:rFonts w:ascii="Verdana" w:hAnsi="Verdana" w:cs="Verdana"/>
          <w:i/>
          <w:color w:val="FF0000"/>
          <w:sz w:val="18"/>
          <w:szCs w:val="18"/>
        </w:rPr>
        <w:t>( w</w:t>
      </w:r>
      <w:proofErr w:type="gramEnd"/>
      <w:r w:rsidRPr="008760E0">
        <w:rPr>
          <w:rFonts w:ascii="Verdana" w:hAnsi="Verdana" w:cs="Verdana"/>
          <w:i/>
          <w:color w:val="FF0000"/>
          <w:sz w:val="18"/>
          <w:szCs w:val="18"/>
        </w:rPr>
        <w:t xml:space="preserve"> języku polskim lub angielskim) potwierdzające spełnianie parametrów technicznych opisanych jako wymagane kryteria techniczne w OPZ. W przypadku folderu w języku obcym (innym niż angielski) do oferty należy dołączyć folder wraz z tłumaczeniem na język polski. </w:t>
      </w:r>
      <w:r w:rsidRPr="008760E0">
        <w:rPr>
          <w:rFonts w:ascii="Verdana" w:hAnsi="Verdana" w:cs="Verdana"/>
          <w:b/>
          <w:bCs/>
          <w:i/>
          <w:color w:val="FF0000"/>
          <w:sz w:val="18"/>
          <w:szCs w:val="18"/>
          <w:u w:val="single"/>
        </w:rPr>
        <w:t>Wykonawca winien zaznaczyć w katalogu, której pozycji opis dotyczy</w:t>
      </w:r>
    </w:p>
    <w:p w14:paraId="2B117A20" w14:textId="77777777"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5886E255" w14:textId="77777777"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49A5C65F" w14:textId="77777777"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77B80F23" w14:textId="77777777" w:rsidR="000D2D8E" w:rsidRPr="00AC786F" w:rsidRDefault="000D2D8E" w:rsidP="000D2D8E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14:paraId="6B29AFBE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E37570">
        <w:rPr>
          <w:rFonts w:ascii="Verdana" w:hAnsi="Verdana"/>
          <w:sz w:val="16"/>
        </w:rPr>
        <w:t>...............................................................................</w:t>
      </w:r>
    </w:p>
    <w:p w14:paraId="3947F9F2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 xml:space="preserve">(podpis </w:t>
      </w:r>
      <w:proofErr w:type="gramStart"/>
      <w:r w:rsidRPr="00E37570">
        <w:rPr>
          <w:rFonts w:ascii="Verdana" w:hAnsi="Verdana"/>
          <w:sz w:val="16"/>
        </w:rPr>
        <w:t>i  pieczęć</w:t>
      </w:r>
      <w:proofErr w:type="gramEnd"/>
      <w:r w:rsidRPr="00E37570">
        <w:rPr>
          <w:rFonts w:ascii="Verdana" w:hAnsi="Verdana"/>
          <w:sz w:val="16"/>
        </w:rPr>
        <w:t xml:space="preserve">  osób wskazanych w dokumencie</w:t>
      </w:r>
    </w:p>
    <w:p w14:paraId="194C7E60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uprawniającym do występowania w obrocie prawnym</w:t>
      </w:r>
    </w:p>
    <w:p w14:paraId="537AC126" w14:textId="4EDB989D" w:rsidR="004F30CE" w:rsidRPr="004607BF" w:rsidRDefault="000D2D8E" w:rsidP="004607BF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E37570">
        <w:rPr>
          <w:rFonts w:ascii="Verdana" w:hAnsi="Verdana"/>
          <w:sz w:val="16"/>
        </w:rPr>
        <w:t>lub posiadających pełnomocnictwo)</w:t>
      </w:r>
    </w:p>
    <w:sectPr w:rsidR="004F30CE" w:rsidRPr="004607BF" w:rsidSect="00053499">
      <w:footerReference w:type="default" r:id="rId7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A972" w14:textId="77777777" w:rsidR="006A71EE" w:rsidRDefault="006A71EE" w:rsidP="000F4FAE">
      <w:r>
        <w:separator/>
      </w:r>
    </w:p>
  </w:endnote>
  <w:endnote w:type="continuationSeparator" w:id="0">
    <w:p w14:paraId="22E78E93" w14:textId="77777777" w:rsidR="006A71EE" w:rsidRDefault="006A71EE" w:rsidP="000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8248074"/>
      <w:docPartObj>
        <w:docPartGallery w:val="Page Numbers (Bottom of Page)"/>
        <w:docPartUnique/>
      </w:docPartObj>
    </w:sdtPr>
    <w:sdtEndPr/>
    <w:sdtContent>
      <w:p w14:paraId="5F94030C" w14:textId="77777777" w:rsidR="00893B38" w:rsidRDefault="00BB20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5BC99" w14:textId="77777777" w:rsidR="000F4FAE" w:rsidRDefault="000F4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818E" w14:textId="77777777" w:rsidR="006A71EE" w:rsidRDefault="006A71EE" w:rsidP="000F4FAE">
      <w:r>
        <w:separator/>
      </w:r>
    </w:p>
  </w:footnote>
  <w:footnote w:type="continuationSeparator" w:id="0">
    <w:p w14:paraId="75DF3635" w14:textId="77777777" w:rsidR="006A71EE" w:rsidRDefault="006A71EE" w:rsidP="000F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642530"/>
    <w:multiLevelType w:val="hybridMultilevel"/>
    <w:tmpl w:val="9DE2741A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1E0CB2">
      <w:start w:val="1"/>
      <w:numFmt w:val="decimal"/>
      <w:lvlText w:val="%3)"/>
      <w:lvlJc w:val="left"/>
      <w:pPr>
        <w:ind w:left="216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32BE"/>
    <w:multiLevelType w:val="hybridMultilevel"/>
    <w:tmpl w:val="BEF44224"/>
    <w:lvl w:ilvl="0" w:tplc="5FA46E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B99"/>
    <w:multiLevelType w:val="hybridMultilevel"/>
    <w:tmpl w:val="FC8889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354DD7"/>
    <w:multiLevelType w:val="hybridMultilevel"/>
    <w:tmpl w:val="CE94AB64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1D5A29ED"/>
    <w:multiLevelType w:val="singleLevel"/>
    <w:tmpl w:val="4E9877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810759"/>
    <w:multiLevelType w:val="hybridMultilevel"/>
    <w:tmpl w:val="F844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D7234"/>
    <w:multiLevelType w:val="hybridMultilevel"/>
    <w:tmpl w:val="21EA6E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6F"/>
    <w:rsid w:val="00004BF7"/>
    <w:rsid w:val="0001522A"/>
    <w:rsid w:val="00021B13"/>
    <w:rsid w:val="00031863"/>
    <w:rsid w:val="0004002D"/>
    <w:rsid w:val="0004343A"/>
    <w:rsid w:val="00053499"/>
    <w:rsid w:val="000852EC"/>
    <w:rsid w:val="000A1166"/>
    <w:rsid w:val="000C7331"/>
    <w:rsid w:val="000D2D8E"/>
    <w:rsid w:val="000E5188"/>
    <w:rsid w:val="000F4FAE"/>
    <w:rsid w:val="00123028"/>
    <w:rsid w:val="0014471D"/>
    <w:rsid w:val="001D658B"/>
    <w:rsid w:val="001F0C7F"/>
    <w:rsid w:val="002364D8"/>
    <w:rsid w:val="00246670"/>
    <w:rsid w:val="00284DB2"/>
    <w:rsid w:val="002B3AA2"/>
    <w:rsid w:val="002B50AD"/>
    <w:rsid w:val="002D70AE"/>
    <w:rsid w:val="003A5860"/>
    <w:rsid w:val="0040223E"/>
    <w:rsid w:val="00406EC0"/>
    <w:rsid w:val="00426BF7"/>
    <w:rsid w:val="004607BF"/>
    <w:rsid w:val="004A14AA"/>
    <w:rsid w:val="004A17F8"/>
    <w:rsid w:val="004A7A72"/>
    <w:rsid w:val="004D6B95"/>
    <w:rsid w:val="004F1C46"/>
    <w:rsid w:val="004F30CE"/>
    <w:rsid w:val="00514112"/>
    <w:rsid w:val="00527CB4"/>
    <w:rsid w:val="00544AF1"/>
    <w:rsid w:val="00547B84"/>
    <w:rsid w:val="00567A98"/>
    <w:rsid w:val="005D01B0"/>
    <w:rsid w:val="005F096F"/>
    <w:rsid w:val="005F41A2"/>
    <w:rsid w:val="00606A39"/>
    <w:rsid w:val="00641C4C"/>
    <w:rsid w:val="00680E4B"/>
    <w:rsid w:val="00684516"/>
    <w:rsid w:val="00696300"/>
    <w:rsid w:val="006A71EE"/>
    <w:rsid w:val="006D3000"/>
    <w:rsid w:val="007078AF"/>
    <w:rsid w:val="00710532"/>
    <w:rsid w:val="0074151B"/>
    <w:rsid w:val="00745116"/>
    <w:rsid w:val="007C6288"/>
    <w:rsid w:val="007D76C4"/>
    <w:rsid w:val="00815A4F"/>
    <w:rsid w:val="008760E0"/>
    <w:rsid w:val="008860F3"/>
    <w:rsid w:val="00891911"/>
    <w:rsid w:val="00893B38"/>
    <w:rsid w:val="008B381F"/>
    <w:rsid w:val="008E5D84"/>
    <w:rsid w:val="00954A91"/>
    <w:rsid w:val="00967F83"/>
    <w:rsid w:val="00970AD5"/>
    <w:rsid w:val="009B548A"/>
    <w:rsid w:val="009C7D2D"/>
    <w:rsid w:val="00A01439"/>
    <w:rsid w:val="00A207E1"/>
    <w:rsid w:val="00A26B87"/>
    <w:rsid w:val="00A35386"/>
    <w:rsid w:val="00A41C33"/>
    <w:rsid w:val="00A512ED"/>
    <w:rsid w:val="00AE34B5"/>
    <w:rsid w:val="00AF59A3"/>
    <w:rsid w:val="00B91A8B"/>
    <w:rsid w:val="00B95661"/>
    <w:rsid w:val="00BB2084"/>
    <w:rsid w:val="00BB2F47"/>
    <w:rsid w:val="00BD57A5"/>
    <w:rsid w:val="00BD5CB5"/>
    <w:rsid w:val="00BF4FED"/>
    <w:rsid w:val="00C22A4A"/>
    <w:rsid w:val="00C93304"/>
    <w:rsid w:val="00CF5EAC"/>
    <w:rsid w:val="00D00C9A"/>
    <w:rsid w:val="00D20E1E"/>
    <w:rsid w:val="00D9128A"/>
    <w:rsid w:val="00E5089F"/>
    <w:rsid w:val="00EA0C6F"/>
    <w:rsid w:val="00EC536F"/>
    <w:rsid w:val="00ED3F9D"/>
    <w:rsid w:val="00ED53D0"/>
    <w:rsid w:val="00EE7010"/>
    <w:rsid w:val="00EF1E80"/>
    <w:rsid w:val="00F512E7"/>
    <w:rsid w:val="00F93569"/>
    <w:rsid w:val="00FA1009"/>
    <w:rsid w:val="00FA26B3"/>
    <w:rsid w:val="00FA3FD9"/>
    <w:rsid w:val="00FA7A1A"/>
    <w:rsid w:val="00FB7BDF"/>
    <w:rsid w:val="00FD7322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34F0FD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499"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rsid w:val="00053499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1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1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19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4FAE"/>
    <w:pPr>
      <w:ind w:left="720"/>
      <w:contextualSpacing/>
    </w:pPr>
  </w:style>
  <w:style w:type="paragraph" w:styleId="Bezodstpw">
    <w:name w:val="No Spacing"/>
    <w:uiPriority w:val="1"/>
    <w:qFormat/>
    <w:rsid w:val="000F4F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rsid w:val="000F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FAE"/>
    <w:rPr>
      <w:rFonts w:ascii="Arial" w:hAnsi="Arial"/>
      <w:lang w:eastAsia="pl-PL"/>
    </w:rPr>
  </w:style>
  <w:style w:type="paragraph" w:styleId="Stopka">
    <w:name w:val="footer"/>
    <w:basedOn w:val="Normalny"/>
    <w:link w:val="StopkaZnak"/>
    <w:rsid w:val="000F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AE"/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rsid w:val="00EA0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C6F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E34B5"/>
    <w:rPr>
      <w:rFonts w:eastAsia="Times New Roman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AE34B5"/>
    <w:rPr>
      <w:rFonts w:ascii="Arial" w:eastAsia="Times New Roman" w:hAnsi="Arial" w:cs="Arial"/>
      <w:b/>
      <w:bCs/>
      <w:sz w:val="2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919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91911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91911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Tekstdymka1">
    <w:name w:val="Tekst dymka1"/>
    <w:basedOn w:val="Normalny"/>
    <w:rsid w:val="00891911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WCZ</vt:lpstr>
    </vt:vector>
  </TitlesOfParts>
  <Company>Promotional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WCZ</dc:title>
  <dc:creator>Wiola Stasiak</dc:creator>
  <cp:lastModifiedBy>Wiola Stasiak</cp:lastModifiedBy>
  <cp:revision>6</cp:revision>
  <cp:lastPrinted>2018-02-16T07:19:00Z</cp:lastPrinted>
  <dcterms:created xsi:type="dcterms:W3CDTF">2020-08-04T18:43:00Z</dcterms:created>
  <dcterms:modified xsi:type="dcterms:W3CDTF">2020-08-05T19:17:00Z</dcterms:modified>
</cp:coreProperties>
</file>