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25" w:rsidRPr="00134EA4" w:rsidRDefault="00B97225" w:rsidP="00B97225">
      <w:pPr>
        <w:pStyle w:val="Tekstpodstawowy"/>
        <w:spacing w:line="276" w:lineRule="auto"/>
        <w:rPr>
          <w:b/>
          <w:sz w:val="22"/>
        </w:rPr>
      </w:pPr>
      <w:r w:rsidRPr="00134EA4">
        <w:rPr>
          <w:b/>
          <w:sz w:val="22"/>
        </w:rPr>
        <w:t xml:space="preserve">RAPORT Z REALIZACJI PROGRAMU PROFILAKTYKI NADWAGI, OTYŁOŚCI </w:t>
      </w:r>
    </w:p>
    <w:p w:rsidR="00B97225" w:rsidRPr="00134EA4" w:rsidRDefault="00B97225" w:rsidP="00B97225">
      <w:pPr>
        <w:pStyle w:val="Tekstpodstawowy"/>
        <w:spacing w:line="276" w:lineRule="auto"/>
        <w:rPr>
          <w:b/>
          <w:sz w:val="22"/>
        </w:rPr>
      </w:pPr>
      <w:r w:rsidRPr="00134EA4">
        <w:rPr>
          <w:b/>
          <w:sz w:val="22"/>
        </w:rPr>
        <w:t xml:space="preserve">ORAZ INNYCH ZABURZEŃ OKRESU ROZWOJOWEGO </w:t>
      </w:r>
    </w:p>
    <w:p w:rsidR="00B97225" w:rsidRPr="00134EA4" w:rsidRDefault="00F76C1D" w:rsidP="00B97225">
      <w:pPr>
        <w:pStyle w:val="Tekstpodstawowy"/>
        <w:spacing w:after="180" w:line="276" w:lineRule="auto"/>
        <w:rPr>
          <w:b/>
          <w:sz w:val="22"/>
        </w:rPr>
      </w:pPr>
      <w:r w:rsidRPr="00134EA4">
        <w:rPr>
          <w:b/>
          <w:sz w:val="22"/>
        </w:rPr>
        <w:t>U DZIECI I MŁODZIEŻY – UCZEŃ W FORMIE 2016/2017</w:t>
      </w:r>
    </w:p>
    <w:p w:rsidR="00B97225" w:rsidRPr="00134EA4" w:rsidRDefault="00B97225" w:rsidP="00B97225">
      <w:pPr>
        <w:spacing w:after="240"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F76C1D" w:rsidRPr="00134EA4" w:rsidRDefault="00F76C1D" w:rsidP="00B97225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 xml:space="preserve">Wydział Zdrowia i Spraw Społecznych Urzędu Miejskiego Wrocławia we współpracy z Wrocławskim Centrum Zdrowia oraz Katedrą i Kliniką Endokrynologii i Diabetologii Wieku Rozwojowego Uniwersytetu Medycznego im. Piastów Śląskich we Wrocławiu </w:t>
      </w:r>
      <w:r w:rsidR="005847A1">
        <w:rPr>
          <w:rFonts w:ascii="Verdana" w:hAnsi="Verdana"/>
          <w:bCs/>
          <w:sz w:val="20"/>
          <w:szCs w:val="20"/>
        </w:rPr>
        <w:t xml:space="preserve">w latach 2016/2017 realizował </w:t>
      </w:r>
      <w:r w:rsidR="00790929">
        <w:rPr>
          <w:rFonts w:ascii="Verdana" w:hAnsi="Verdana"/>
          <w:bCs/>
          <w:sz w:val="20"/>
          <w:szCs w:val="20"/>
        </w:rPr>
        <w:t>szóstą edycję p</w:t>
      </w:r>
      <w:r w:rsidR="00790929" w:rsidRPr="00134EA4">
        <w:rPr>
          <w:rFonts w:ascii="Verdana" w:hAnsi="Verdana"/>
          <w:bCs/>
          <w:sz w:val="20"/>
          <w:szCs w:val="20"/>
        </w:rPr>
        <w:t>rogramu profilaktyki nadwagi, otyłości oraz innych zaburzeń okresu rozwojowego u dzieci i młodzieży</w:t>
      </w:r>
      <w:r w:rsidR="005847A1">
        <w:rPr>
          <w:rFonts w:ascii="Verdana" w:hAnsi="Verdana"/>
          <w:bCs/>
          <w:sz w:val="20"/>
          <w:szCs w:val="20"/>
        </w:rPr>
        <w:t xml:space="preserve"> </w:t>
      </w:r>
      <w:r w:rsidR="005847A1" w:rsidRPr="00134EA4"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>„Uczeń w formie”</w:t>
      </w:r>
      <w:r w:rsidR="00790929" w:rsidRPr="00134EA4">
        <w:rPr>
          <w:rFonts w:ascii="Verdana" w:hAnsi="Verdana"/>
          <w:bCs/>
          <w:sz w:val="20"/>
          <w:szCs w:val="20"/>
        </w:rPr>
        <w:t xml:space="preserve">. </w:t>
      </w:r>
      <w:r w:rsidR="005847A1">
        <w:rPr>
          <w:rFonts w:ascii="Verdana" w:hAnsi="Verdana"/>
          <w:bCs/>
          <w:sz w:val="20"/>
          <w:szCs w:val="20"/>
        </w:rPr>
        <w:t>Program został  zainicjowany w</w:t>
      </w:r>
      <w:r w:rsidR="00790929" w:rsidRPr="00134EA4">
        <w:rPr>
          <w:rFonts w:ascii="Verdana" w:hAnsi="Verdana"/>
          <w:bCs/>
          <w:sz w:val="20"/>
          <w:szCs w:val="20"/>
        </w:rPr>
        <w:t xml:space="preserve"> 2010 roku.</w:t>
      </w:r>
      <w:r w:rsidR="005847A1">
        <w:rPr>
          <w:rFonts w:ascii="Verdana" w:hAnsi="Verdana"/>
          <w:bCs/>
          <w:sz w:val="20"/>
          <w:szCs w:val="20"/>
        </w:rPr>
        <w:t xml:space="preserve"> </w:t>
      </w:r>
    </w:p>
    <w:p w:rsidR="005847A1" w:rsidRPr="00134EA4" w:rsidRDefault="00F76C1D" w:rsidP="00B97225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W pierwszej pilotażowej edycji – w roku szkolnym 2010/2011 uczestniczyło 20 szkół podstawowych. Z roku na rok rosła liczba placówek szkolnych biorących udział w progra</w:t>
      </w:r>
      <w:r w:rsidR="005847A1">
        <w:rPr>
          <w:rFonts w:ascii="Verdana" w:hAnsi="Verdana"/>
          <w:bCs/>
          <w:sz w:val="20"/>
          <w:szCs w:val="20"/>
        </w:rPr>
        <w:t>mie. W szóstej edycji programu</w:t>
      </w:r>
      <w:r w:rsidRPr="00134EA4">
        <w:rPr>
          <w:rFonts w:ascii="Verdana" w:hAnsi="Verdana"/>
          <w:bCs/>
          <w:sz w:val="20"/>
          <w:szCs w:val="20"/>
        </w:rPr>
        <w:t xml:space="preserve"> uczestniczyło już 75 wrocławskich szkół podstawowych (tabela 1).</w:t>
      </w:r>
    </w:p>
    <w:p w:rsidR="00B97225" w:rsidRPr="00134EA4" w:rsidRDefault="00B97225" w:rsidP="00B97225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34EA4">
        <w:rPr>
          <w:rFonts w:ascii="Verdana" w:hAnsi="Verdana"/>
          <w:b/>
          <w:bCs/>
          <w:sz w:val="20"/>
          <w:szCs w:val="20"/>
        </w:rPr>
        <w:t xml:space="preserve">Tabela 1. </w:t>
      </w:r>
    </w:p>
    <w:p w:rsidR="00B97225" w:rsidRPr="00134EA4" w:rsidRDefault="00B97225" w:rsidP="00B97225">
      <w:pPr>
        <w:spacing w:after="24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34EA4">
        <w:rPr>
          <w:rFonts w:ascii="Verdana" w:hAnsi="Verdana"/>
          <w:b/>
          <w:bCs/>
          <w:sz w:val="20"/>
          <w:szCs w:val="20"/>
        </w:rPr>
        <w:t>Szkoły uczestniczące w programie „Uczeń w formie” w roku szkolnym 2016/2017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617"/>
      </w:tblGrid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  <w:b/>
                <w:bCs/>
              </w:rPr>
            </w:pPr>
            <w:r w:rsidRPr="00134EA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  <w:b/>
                <w:bCs/>
              </w:rPr>
            </w:pPr>
            <w:r w:rsidRPr="00134EA4">
              <w:rPr>
                <w:rFonts w:ascii="Arial CE" w:hAnsi="Arial CE" w:cs="Arial CE"/>
                <w:b/>
                <w:bCs/>
                <w:sz w:val="22"/>
                <w:szCs w:val="22"/>
              </w:rPr>
              <w:t>Nazwa i adres placówki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1, ul. Nowowiejska 78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2, ul. Komuny Paryskiej 36/38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3, ul. Bobrza 27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8, ul. Kowalska 105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9, ul. Nyska 66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10, ul. Inflancka 13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12, ul. Janiszewskiego 14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15, ul. Solskiego 13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16, ul. Wietrzna 50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18, ul. Poznańska 26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19, ul. Koszykarska 2-4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20, ul. Kamieńskiego 24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21,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Osobowicka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127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22,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Stabłowicka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143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23, ul. Przystankowa 32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24, ul. Częstochowska 24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25,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Stanicławowska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28-44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26, ul. Suwalska 5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27, ul. Rumiankowa 34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28, ul. Grecka 59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30, ul. Zaporoska 28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34, ul. Gałczyńskiego 8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36, ul. Chopina 9b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37, ul. Sarbinowska 10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38, ul. Horbaczewskiego 61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Szkoła Podstawowa nr 40,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Sołtysowicka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34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42, ul. Wałbrzyska 50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45, ul. Krajewskiego 1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46, ul. Ścinawska 21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Szkoła Podstawowa nr 47,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Januszowicka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35/37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50, ul. Czeska 38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Szkoła Podstawowa nr 51,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Krępicka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50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58, ul. Składowa 2-4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Szkoła Podstawowa nr 61, ul. Skarbowców 8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63, ul. Mennicza 21-23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Szkoła Podstawowa nr 64,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Wojszycka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1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65, ul. Kłodnicka 36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67, pl. Muzealny 20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71, ul. Podwale 57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72, ul. Trwała 17/19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73, ul. Gliniana 30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74, ul. Kleczkowska 2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Szkoła Podstawowa nr 75,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Ignuta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28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76, ul. Wandy 13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78, ul. Jedności Narodowej 195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80, ul. Polna 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82, ul. Blacharska 13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83, ul. Boya-Żeleńskiego 32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84, ul. Górnickiego 20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85, ul. Traugutta 37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lastRenderedPageBreak/>
              <w:t>51.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90, ul. Orzechowa 62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91, ul. Sempołowskiej 54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93, ul. Niemcewicza 29-31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Szkoła Podstawowa nr 95, ul. </w:t>
            </w:r>
            <w:proofErr w:type="spellStart"/>
            <w:r w:rsidRPr="00134EA4">
              <w:rPr>
                <w:rFonts w:ascii="Arial CE" w:hAnsi="Arial CE" w:cs="Arial CE"/>
                <w:sz w:val="22"/>
                <w:szCs w:val="22"/>
              </w:rPr>
              <w:t>Starogajowa</w:t>
            </w:r>
            <w:proofErr w:type="spellEnd"/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66-68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96, ul. Krakowska 2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97, ul. Prosta 16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99, ul. Głubczycka 3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107, ul. B. Prusa 64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108, ul. Chrobrego 3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60.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109, ul. Inżynierska 54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61.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113, ul. Zemska 16c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Szkoła Podstawowa nr 118, ul. Bulwar Ikara 19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Szkoła Podstawowa nr 119, ul. Bytomska 7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Dolnośląski Specjalny Ośrodek Szkolno-Wychowawczy nr 13, ul. Kamiennogórska 16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Specjalny Ośrodek Szkolno-Wychowawczy nr 10, ul. Parkowa 27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Specjalny Ośrodek Szkolno-Wychowawczy nr 1, ul. Wejherowska 28 (Szkoła Podstawowa nr 89)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Zespół Placówek Oświatowych nr 2, ul. Głogowska 30 (Szkoła Podstawowa nr 102)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 xml:space="preserve"> Zespół Szkół Sióstr Salezjanek, pl. Franciszkański 1-3 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Zespół Szkół "EKOLA" ul. Zielińskiego 56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70.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Społeczna Specjalna Szkoła Podstawowa Stowarz</w:t>
            </w:r>
            <w:r w:rsidR="00134EA4" w:rsidRPr="00134EA4">
              <w:rPr>
                <w:rFonts w:ascii="Arial" w:hAnsi="Arial" w:cs="Arial"/>
                <w:sz w:val="22"/>
                <w:szCs w:val="22"/>
              </w:rPr>
              <w:t>yszenia "HANDICAP", ul. Stawowa </w:t>
            </w:r>
            <w:r w:rsidRPr="00134EA4">
              <w:rPr>
                <w:rFonts w:ascii="Arial" w:hAnsi="Arial" w:cs="Arial"/>
                <w:sz w:val="22"/>
                <w:szCs w:val="22"/>
              </w:rPr>
              <w:t>1a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71.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ARKA Chrześcijańska Szkoła Podstawowa, ul. Stalowowolska 24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72.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Dwujęzyczna Szkoła Podstawowa ATUT Fundacji Edukacji Międzynarodowej, ul. Racławicka 101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73.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Publiczna Szkoła Podstawowa LEONARDO, ul. Franklina Delano Roosevelta 15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74.</w:t>
            </w: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34EA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134EA4">
              <w:rPr>
                <w:rFonts w:ascii="Arial" w:hAnsi="Arial" w:cs="Arial"/>
                <w:sz w:val="22"/>
                <w:szCs w:val="22"/>
              </w:rPr>
              <w:t xml:space="preserve"> II stopnia, ul. Piłsudskiego 25</w:t>
            </w:r>
          </w:p>
        </w:tc>
      </w:tr>
      <w:tr w:rsidR="00F76C1D" w:rsidRPr="00134EA4" w:rsidTr="00134EA4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" w:hAnsi="Arial" w:cs="Arial"/>
              </w:rPr>
            </w:pPr>
            <w:r w:rsidRPr="00134EA4">
              <w:rPr>
                <w:rFonts w:ascii="Arial" w:hAnsi="Arial" w:cs="Arial"/>
                <w:sz w:val="22"/>
                <w:szCs w:val="22"/>
              </w:rPr>
              <w:t>75.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1D" w:rsidRPr="00134EA4" w:rsidRDefault="00F76C1D" w:rsidP="00134EA4">
            <w:pPr>
              <w:rPr>
                <w:rFonts w:ascii="Arial CE" w:hAnsi="Arial CE" w:cs="Arial CE"/>
              </w:rPr>
            </w:pPr>
            <w:r w:rsidRPr="00134EA4">
              <w:rPr>
                <w:rFonts w:ascii="Arial CE" w:hAnsi="Arial CE" w:cs="Arial CE"/>
                <w:sz w:val="22"/>
                <w:szCs w:val="22"/>
              </w:rPr>
              <w:t>Ogólnokształcąca Szkoła Muzyczna I stopnia w Zespole Szkół nr 9, ul. Krajewskiego 1</w:t>
            </w:r>
          </w:p>
        </w:tc>
      </w:tr>
    </w:tbl>
    <w:p w:rsidR="001111E9" w:rsidRPr="00134EA4" w:rsidRDefault="001111E9"/>
    <w:p w:rsidR="00F76C1D" w:rsidRPr="00134EA4" w:rsidRDefault="00F76C1D" w:rsidP="00F76C1D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 xml:space="preserve">Celem programu </w:t>
      </w:r>
      <w:r w:rsidR="005847A1">
        <w:rPr>
          <w:rFonts w:ascii="Verdana" w:hAnsi="Verdana"/>
          <w:bCs/>
          <w:sz w:val="20"/>
          <w:szCs w:val="20"/>
        </w:rPr>
        <w:t>jest</w:t>
      </w:r>
      <w:r w:rsidRPr="00134EA4">
        <w:rPr>
          <w:rFonts w:ascii="Verdana" w:hAnsi="Verdana"/>
          <w:bCs/>
          <w:sz w:val="20"/>
          <w:szCs w:val="20"/>
        </w:rPr>
        <w:t xml:space="preserve"> ograniczenie liczby dzieci i młodzieży z nadwagą i otyłością oraz innymi zaburzeniami okresu rozwojowego poprzez zwiększenie świadomości zagrożeń zdrowotnych wynikających ze złych nawyków żywieniowych i braku aktywności ruchowej oraz kształtowanie zachowań sprzyjających zdrowiu.</w:t>
      </w:r>
    </w:p>
    <w:p w:rsidR="00134EA4" w:rsidRPr="00134EA4" w:rsidRDefault="00F76C1D" w:rsidP="00F76C1D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 xml:space="preserve">Od września do grudnia 2016 roku w szkołach prowadzona </w:t>
      </w:r>
      <w:r w:rsidR="000928B3" w:rsidRPr="00134EA4">
        <w:rPr>
          <w:rFonts w:ascii="Verdana" w:hAnsi="Verdana"/>
          <w:sz w:val="20"/>
          <w:szCs w:val="20"/>
        </w:rPr>
        <w:t xml:space="preserve">była </w:t>
      </w:r>
      <w:r w:rsidRPr="00134EA4">
        <w:rPr>
          <w:rFonts w:ascii="Verdana" w:hAnsi="Verdana"/>
          <w:sz w:val="20"/>
          <w:szCs w:val="20"/>
        </w:rPr>
        <w:t xml:space="preserve">rekrutacja do programu. Zadanie powierzono </w:t>
      </w:r>
      <w:r w:rsidR="000928B3">
        <w:rPr>
          <w:rFonts w:ascii="Verdana" w:hAnsi="Verdana"/>
          <w:sz w:val="20"/>
          <w:szCs w:val="20"/>
        </w:rPr>
        <w:t xml:space="preserve">pielęgniarkom medycyny szkolnej, które </w:t>
      </w:r>
      <w:r w:rsidR="00A670D3">
        <w:rPr>
          <w:rFonts w:ascii="Verdana" w:hAnsi="Verdana"/>
          <w:sz w:val="20"/>
          <w:szCs w:val="20"/>
        </w:rPr>
        <w:t xml:space="preserve">kwalifikowały dzieci </w:t>
      </w:r>
      <w:r w:rsidRPr="00134EA4">
        <w:rPr>
          <w:rFonts w:ascii="Verdana" w:hAnsi="Verdana"/>
          <w:sz w:val="20"/>
          <w:szCs w:val="20"/>
        </w:rPr>
        <w:t xml:space="preserve">na </w:t>
      </w:r>
      <w:r w:rsidRPr="005847A1">
        <w:rPr>
          <w:rFonts w:ascii="Verdana" w:hAnsi="Verdana"/>
          <w:sz w:val="20"/>
          <w:szCs w:val="20"/>
        </w:rPr>
        <w:t>podstawie badań</w:t>
      </w:r>
      <w:r w:rsidRPr="00134EA4">
        <w:rPr>
          <w:rFonts w:ascii="Verdana" w:hAnsi="Verdana"/>
          <w:sz w:val="20"/>
          <w:szCs w:val="20"/>
        </w:rPr>
        <w:t>  przesiewowych</w:t>
      </w:r>
      <w:r w:rsidR="000928B3">
        <w:rPr>
          <w:rFonts w:ascii="Verdana" w:hAnsi="Verdana"/>
          <w:sz w:val="20"/>
          <w:szCs w:val="20"/>
        </w:rPr>
        <w:t xml:space="preserve"> przeprowadzanych w klasach</w:t>
      </w:r>
      <w:r w:rsidRPr="00134EA4">
        <w:rPr>
          <w:rFonts w:ascii="Verdana" w:hAnsi="Verdana"/>
          <w:sz w:val="20"/>
          <w:szCs w:val="20"/>
        </w:rPr>
        <w:t xml:space="preserve"> I, III oraz V szkoły podstawowej. </w:t>
      </w:r>
      <w:r w:rsidRPr="00134EA4">
        <w:rPr>
          <w:rFonts w:ascii="Verdana" w:hAnsi="Verdana"/>
          <w:bCs/>
          <w:sz w:val="20"/>
          <w:szCs w:val="20"/>
        </w:rPr>
        <w:t xml:space="preserve">Wykonano pomiary masy i wysokości ciała, a następnie obliczono wskaźnik </w:t>
      </w:r>
      <w:r w:rsidRPr="00134EA4">
        <w:rPr>
          <w:rFonts w:ascii="Verdana" w:hAnsi="Verdana"/>
          <w:bCs/>
          <w:sz w:val="20"/>
          <w:szCs w:val="20"/>
        </w:rPr>
        <w:lastRenderedPageBreak/>
        <w:t>stanu odżywienia BMI. Uzyskane dane odniesiono do siatek centylowych do oceny rozwoju, wzrastania oraz stanu odżywienia dzieci i młodzieży szkolnej w Polsce opracowanych w ramach ogólnopolskiego projektu badawczego OLAF realizowanego w latach 2007-2009. Pomiary wykonano u 12668 uczniów: 6184 dziewcząt oraz 6484 chłopców (wykres 1). Najliczniejszą grupę badanych stanowili trzecioklasiści.</w:t>
      </w:r>
    </w:p>
    <w:p w:rsidR="00F76C1D" w:rsidRPr="00134EA4" w:rsidRDefault="00F76C1D" w:rsidP="00F76C1D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34EA4">
        <w:rPr>
          <w:rFonts w:ascii="Verdana" w:hAnsi="Verdana"/>
          <w:b/>
          <w:bCs/>
          <w:sz w:val="20"/>
          <w:szCs w:val="20"/>
        </w:rPr>
        <w:t xml:space="preserve">Wykres 1. </w:t>
      </w:r>
    </w:p>
    <w:p w:rsidR="00F76C1D" w:rsidRPr="00134EA4" w:rsidRDefault="00F76C1D" w:rsidP="00F76C1D">
      <w:pPr>
        <w:spacing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34EA4">
        <w:rPr>
          <w:rFonts w:ascii="Verdana" w:hAnsi="Verdana"/>
          <w:b/>
          <w:bCs/>
          <w:sz w:val="20"/>
          <w:szCs w:val="20"/>
        </w:rPr>
        <w:t>Liczba przebadanych uczniów</w:t>
      </w:r>
    </w:p>
    <w:p w:rsidR="00F76C1D" w:rsidRPr="00134EA4" w:rsidRDefault="00F76C1D" w:rsidP="00F76C1D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6C1D" w:rsidRPr="00134EA4" w:rsidRDefault="00F76C1D" w:rsidP="00F76C1D">
      <w:pPr>
        <w:spacing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Do drugiego etapu programu zakwalifikowano łącznie 2964 osoby (1493 dziewczęta oraz 1471 chłopców) z nieprawidłowym wskaźnikiem BMI lub też innymi zaburzeniami charakterystycznymi dla wieku rozwojowego. Oznaczało to, że u 23,4% spośród 12668 przebadanych dzieci występowały odchylenia od norm przyjętych dla danego wieku i płci oraz wymagają one dalszej pogłębionej oceny.</w:t>
      </w:r>
    </w:p>
    <w:p w:rsidR="00F76C1D" w:rsidRPr="00134EA4" w:rsidRDefault="00F76C1D" w:rsidP="00F76C1D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t xml:space="preserve">Uczniowie zostali podzieleni na 4 grupy: </w:t>
      </w:r>
    </w:p>
    <w:p w:rsidR="00F76C1D" w:rsidRPr="00134EA4" w:rsidRDefault="00F76C1D" w:rsidP="00F76C1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t>dzieci z niedoborem wzrostu – których wysokość ciała odpowiadała wartości poniżej 3 centyla;</w:t>
      </w:r>
    </w:p>
    <w:p w:rsidR="00F76C1D" w:rsidRPr="00134EA4" w:rsidRDefault="00F76C1D" w:rsidP="00F76C1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t>dzieci z niedoborem masy ciała – których wskaźnik BMI był równy lub poniżej 10 centyla;</w:t>
      </w:r>
    </w:p>
    <w:p w:rsidR="00F76C1D" w:rsidRPr="00134EA4" w:rsidRDefault="00F76C1D" w:rsidP="00F76C1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t>dzieci z nadwagą – których wskaźnik BMI był równy lub powyżej 90 centyla, ale mniejszy od 97 centyla;</w:t>
      </w:r>
    </w:p>
    <w:p w:rsidR="00F76C1D" w:rsidRPr="00134EA4" w:rsidRDefault="00F76C1D" w:rsidP="00F76C1D">
      <w:pPr>
        <w:numPr>
          <w:ilvl w:val="0"/>
          <w:numId w:val="2"/>
        </w:numPr>
        <w:spacing w:after="240"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t>dzieci otyłe – których wskaźnik BMI był równy lub powyżej 97 centyla.</w:t>
      </w:r>
    </w:p>
    <w:p w:rsidR="00F76C1D" w:rsidRPr="00134EA4" w:rsidRDefault="00F76C1D" w:rsidP="00134EA4">
      <w:pPr>
        <w:spacing w:after="240"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 xml:space="preserve">Badania przeprowadzone w roku szkolnym 2016/2017 wykazały zaburzenia wzrostu lub masy ciała u prawie co czwartego badanego. </w:t>
      </w:r>
      <w:r w:rsidRPr="00134EA4">
        <w:rPr>
          <w:rFonts w:ascii="Verdana" w:hAnsi="Verdana"/>
          <w:noProof/>
          <w:sz w:val="20"/>
          <w:szCs w:val="20"/>
        </w:rPr>
        <w:t xml:space="preserve">Odsetek dzieci i młodzieży z niedoborem wzrostu wyniósł 2,13%, ze wskaźnikiem BMI świadczącym o nadwadze lub otyłości – </w:t>
      </w:r>
      <w:r w:rsidRPr="00134EA4">
        <w:rPr>
          <w:rFonts w:ascii="Verdana" w:hAnsi="Verdana"/>
          <w:noProof/>
          <w:sz w:val="20"/>
          <w:szCs w:val="20"/>
        </w:rPr>
        <w:lastRenderedPageBreak/>
        <w:t xml:space="preserve">11,96%, natomiast niedobór masy ciała stwierdzono u blisko 9,31% badanych – </w:t>
      </w:r>
      <w:r w:rsidR="000928B3">
        <w:rPr>
          <w:rFonts w:ascii="Verdana" w:hAnsi="Verdana"/>
          <w:noProof/>
          <w:sz w:val="20"/>
          <w:szCs w:val="20"/>
        </w:rPr>
        <w:t>c</w:t>
      </w:r>
      <w:r w:rsidRPr="00134EA4">
        <w:rPr>
          <w:rFonts w:ascii="Verdana" w:hAnsi="Verdana"/>
          <w:noProof/>
          <w:sz w:val="20"/>
          <w:szCs w:val="20"/>
        </w:rPr>
        <w:t xml:space="preserve">o </w:t>
      </w:r>
      <w:r w:rsidR="000928B3">
        <w:rPr>
          <w:rFonts w:ascii="Verdana" w:hAnsi="Verdana"/>
          <w:noProof/>
          <w:sz w:val="20"/>
          <w:szCs w:val="20"/>
        </w:rPr>
        <w:t xml:space="preserve">stanowiło </w:t>
      </w:r>
      <w:r w:rsidRPr="00134EA4">
        <w:rPr>
          <w:rFonts w:ascii="Verdana" w:hAnsi="Verdana"/>
          <w:noProof/>
          <w:sz w:val="20"/>
          <w:szCs w:val="20"/>
        </w:rPr>
        <w:t>3,58% więcej ni</w:t>
      </w:r>
      <w:r w:rsidR="00134EA4">
        <w:rPr>
          <w:rFonts w:ascii="Verdana" w:hAnsi="Verdana"/>
          <w:noProof/>
          <w:sz w:val="20"/>
          <w:szCs w:val="20"/>
        </w:rPr>
        <w:t>ż w poprzedniej edycji programu (wykres 2).</w:t>
      </w:r>
    </w:p>
    <w:p w:rsidR="00F76C1D" w:rsidRPr="00134EA4" w:rsidRDefault="00F76C1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t xml:space="preserve">Wykres 2. </w:t>
      </w:r>
    </w:p>
    <w:p w:rsidR="00F76C1D" w:rsidRPr="00134EA4" w:rsidRDefault="00F76C1D" w:rsidP="00F76C1D">
      <w:pPr>
        <w:spacing w:after="24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t>Uczniowie z zaburzeniami (%)</w:t>
      </w:r>
    </w:p>
    <w:p w:rsidR="00F76C1D" w:rsidRPr="00134EA4" w:rsidRDefault="00F76C1D" w:rsidP="00F76C1D">
      <w:pPr>
        <w:spacing w:after="240"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8B3" w:rsidRDefault="00F76C1D" w:rsidP="00F76C1D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Odsetek dzieci ze stwierdzonymi zaburzeniami był największy</w:t>
      </w:r>
      <w:r w:rsidR="000928B3">
        <w:rPr>
          <w:rFonts w:ascii="Verdana" w:hAnsi="Verdana"/>
          <w:bCs/>
          <w:sz w:val="20"/>
          <w:szCs w:val="20"/>
        </w:rPr>
        <w:t xml:space="preserve"> wśród piątoklasistów -26,24%, natomiast najlepiej </w:t>
      </w:r>
      <w:r w:rsidRPr="00134EA4">
        <w:rPr>
          <w:rFonts w:ascii="Verdana" w:hAnsi="Verdana"/>
          <w:bCs/>
          <w:sz w:val="20"/>
          <w:szCs w:val="20"/>
        </w:rPr>
        <w:t xml:space="preserve">wypadła najmłodsza grupa badanych – nieprawidłowości wykazano u 21,57% dzieci. </w:t>
      </w:r>
    </w:p>
    <w:p w:rsidR="00F76C1D" w:rsidRPr="00134EA4" w:rsidRDefault="00F76C1D" w:rsidP="00F76C1D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Największy odsetek dzieci z niedoborem wzrostu stwierdzo</w:t>
      </w:r>
      <w:r w:rsidR="0010508D">
        <w:rPr>
          <w:rFonts w:ascii="Verdana" w:hAnsi="Verdana"/>
          <w:bCs/>
          <w:sz w:val="20"/>
          <w:szCs w:val="20"/>
        </w:rPr>
        <w:t xml:space="preserve">no w grupie pierwszoklasistów </w:t>
      </w:r>
      <w:r w:rsidRPr="00134EA4">
        <w:rPr>
          <w:rFonts w:ascii="Verdana" w:hAnsi="Verdana"/>
          <w:bCs/>
          <w:sz w:val="20"/>
          <w:szCs w:val="20"/>
        </w:rPr>
        <w:t>3,29%. Pomiary wykazały również, że im starsza gru</w:t>
      </w:r>
      <w:r w:rsidR="000928B3">
        <w:rPr>
          <w:rFonts w:ascii="Verdana" w:hAnsi="Verdana"/>
          <w:bCs/>
          <w:sz w:val="20"/>
          <w:szCs w:val="20"/>
        </w:rPr>
        <w:t>pa wiekowa, tym więcej dzieci z </w:t>
      </w:r>
      <w:r w:rsidR="0010508D">
        <w:rPr>
          <w:rFonts w:ascii="Verdana" w:hAnsi="Verdana"/>
          <w:bCs/>
          <w:sz w:val="20"/>
          <w:szCs w:val="20"/>
        </w:rPr>
        <w:t xml:space="preserve">nadwagą </w:t>
      </w:r>
      <w:r w:rsidRPr="00134EA4">
        <w:rPr>
          <w:rFonts w:ascii="Verdana" w:hAnsi="Verdana"/>
          <w:bCs/>
          <w:sz w:val="20"/>
          <w:szCs w:val="20"/>
        </w:rPr>
        <w:t xml:space="preserve"> ponad 5% różnicy między najmłodszą a najstarszą grupą badanych. Udział procentowy dzieci z otyłością i niedoborem masy ciała był na zbliżonym poziomie we wszystkich klasach, nie p</w:t>
      </w:r>
      <w:r w:rsidR="00134EA4">
        <w:rPr>
          <w:rFonts w:ascii="Verdana" w:hAnsi="Verdana"/>
          <w:bCs/>
          <w:sz w:val="20"/>
          <w:szCs w:val="20"/>
        </w:rPr>
        <w:t>rzekroczył odpowiednio 3% i 10% (wykres 3).</w:t>
      </w:r>
    </w:p>
    <w:p w:rsidR="00A670D3" w:rsidRDefault="00A670D3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A670D3" w:rsidRDefault="00A670D3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A670D3" w:rsidRDefault="00A670D3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8036BD" w:rsidRDefault="008036B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F76C1D" w:rsidRPr="00134EA4" w:rsidRDefault="00F76C1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lastRenderedPageBreak/>
        <w:t xml:space="preserve">Wykres 3. </w:t>
      </w:r>
    </w:p>
    <w:p w:rsidR="00F76C1D" w:rsidRPr="00134EA4" w:rsidRDefault="00F76C1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t>Uczniowie z zaburzeniami wg wieku (%)</w:t>
      </w:r>
    </w:p>
    <w:p w:rsidR="00F76C1D" w:rsidRPr="00134EA4" w:rsidRDefault="00F76C1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F76C1D" w:rsidRPr="00134EA4" w:rsidRDefault="00F76C1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6C1D" w:rsidRPr="00134EA4" w:rsidRDefault="00F76C1D" w:rsidP="00F76C1D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F76C1D" w:rsidRPr="00134EA4" w:rsidRDefault="00F76C1D" w:rsidP="00F76C1D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t>W edycji programu 2016/2017 rozkład zaburzeń dotyczących rozwoju, ro</w:t>
      </w:r>
      <w:r w:rsidR="00FC1165">
        <w:rPr>
          <w:rFonts w:ascii="Verdana" w:hAnsi="Verdana"/>
          <w:noProof/>
          <w:sz w:val="20"/>
          <w:szCs w:val="20"/>
        </w:rPr>
        <w:t>z</w:t>
      </w:r>
      <w:r w:rsidRPr="00134EA4">
        <w:rPr>
          <w:rFonts w:ascii="Verdana" w:hAnsi="Verdana"/>
          <w:noProof/>
          <w:sz w:val="20"/>
          <w:szCs w:val="20"/>
        </w:rPr>
        <w:t>rostu i stanu odżywienia był na podobnym poziomie w grupie dziewcząt i chłopców, 1,46% więcej stwierdzonych niep</w:t>
      </w:r>
      <w:r w:rsidR="00134EA4">
        <w:rPr>
          <w:rFonts w:ascii="Verdana" w:hAnsi="Verdana"/>
          <w:noProof/>
          <w:sz w:val="20"/>
          <w:szCs w:val="20"/>
        </w:rPr>
        <w:t>rawidłowości w grupie pierwszej (wykres 4).</w:t>
      </w:r>
    </w:p>
    <w:p w:rsidR="00F76C1D" w:rsidRPr="00134EA4" w:rsidRDefault="00F76C1D">
      <w:pPr>
        <w:rPr>
          <w:rFonts w:ascii="Verdana" w:hAnsi="Verdana"/>
          <w:noProof/>
          <w:sz w:val="20"/>
          <w:szCs w:val="20"/>
        </w:rPr>
      </w:pPr>
    </w:p>
    <w:p w:rsidR="00F76C1D" w:rsidRPr="00134EA4" w:rsidRDefault="00F76C1D">
      <w:pPr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t>Wykres 4.</w:t>
      </w:r>
    </w:p>
    <w:p w:rsidR="00F76C1D" w:rsidRPr="00134EA4" w:rsidRDefault="00F76C1D">
      <w:pPr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t>Uczniowie z zaburzeniami z uwzględnieniem płci i wieku (%)</w:t>
      </w:r>
    </w:p>
    <w:p w:rsidR="00F76C1D" w:rsidRPr="00134EA4" w:rsidRDefault="00F76C1D">
      <w:pPr>
        <w:rPr>
          <w:rFonts w:ascii="Verdana" w:hAnsi="Verdana"/>
          <w:noProof/>
          <w:sz w:val="20"/>
          <w:szCs w:val="20"/>
        </w:rPr>
      </w:pPr>
    </w:p>
    <w:p w:rsidR="00F76C1D" w:rsidRDefault="000D42F2">
      <w:r w:rsidRPr="000D42F2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0D3" w:rsidRPr="00134EA4" w:rsidRDefault="00A670D3"/>
    <w:p w:rsidR="007458AB" w:rsidRPr="00134EA4" w:rsidRDefault="007458AB" w:rsidP="007458AB">
      <w:pPr>
        <w:spacing w:after="240" w:line="360" w:lineRule="auto"/>
        <w:jc w:val="both"/>
        <w:rPr>
          <w:rFonts w:ascii="Verdana" w:hAnsi="Verdana"/>
          <w:noProof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t>Wyniki badań przesiewowych uzyskane w poszczegó</w:t>
      </w:r>
      <w:r w:rsidR="00A670D3">
        <w:rPr>
          <w:rFonts w:ascii="Verdana" w:hAnsi="Verdana"/>
          <w:noProof/>
          <w:sz w:val="20"/>
          <w:szCs w:val="20"/>
        </w:rPr>
        <w:t>lnych edycjach programu pokazały</w:t>
      </w:r>
      <w:r w:rsidRPr="00134EA4">
        <w:rPr>
          <w:rFonts w:ascii="Verdana" w:hAnsi="Verdana"/>
          <w:noProof/>
          <w:sz w:val="20"/>
          <w:szCs w:val="20"/>
        </w:rPr>
        <w:t>, że od r</w:t>
      </w:r>
      <w:r w:rsidR="00A670D3">
        <w:rPr>
          <w:rFonts w:ascii="Verdana" w:hAnsi="Verdana"/>
          <w:noProof/>
          <w:sz w:val="20"/>
          <w:szCs w:val="20"/>
        </w:rPr>
        <w:t>oku szkolnego 2013/2014 – wzrósł</w:t>
      </w:r>
      <w:r w:rsidRPr="00134EA4">
        <w:rPr>
          <w:rFonts w:ascii="Verdana" w:hAnsi="Verdana"/>
          <w:noProof/>
          <w:sz w:val="20"/>
          <w:szCs w:val="20"/>
        </w:rPr>
        <w:t xml:space="preserve"> odsetek dzieci z niedoborem masy ciała, prawie 5% różnicy między edycją 2013/2014 a 2016/2017. Zmalała</w:t>
      </w:r>
      <w:r w:rsidR="00A03D47" w:rsidRPr="00134EA4">
        <w:rPr>
          <w:rFonts w:ascii="Verdana" w:hAnsi="Verdana"/>
          <w:noProof/>
          <w:sz w:val="20"/>
          <w:szCs w:val="20"/>
        </w:rPr>
        <w:t xml:space="preserve"> natomiast</w:t>
      </w:r>
      <w:r w:rsidRPr="00134EA4">
        <w:rPr>
          <w:rFonts w:ascii="Verdana" w:hAnsi="Verdana"/>
          <w:noProof/>
          <w:sz w:val="20"/>
          <w:szCs w:val="20"/>
        </w:rPr>
        <w:t xml:space="preserve"> liczba dzie</w:t>
      </w:r>
      <w:r w:rsidR="00A03D47" w:rsidRPr="00134EA4">
        <w:rPr>
          <w:rFonts w:ascii="Verdana" w:hAnsi="Verdana"/>
          <w:noProof/>
          <w:sz w:val="20"/>
          <w:szCs w:val="20"/>
        </w:rPr>
        <w:t>ci z </w:t>
      </w:r>
      <w:r w:rsidRPr="00134EA4">
        <w:rPr>
          <w:rFonts w:ascii="Verdana" w:hAnsi="Verdana"/>
          <w:noProof/>
          <w:sz w:val="20"/>
          <w:szCs w:val="20"/>
        </w:rPr>
        <w:t>nadmierną masą ciała,</w:t>
      </w:r>
      <w:r w:rsidR="00A03D47" w:rsidRPr="00134EA4">
        <w:rPr>
          <w:rFonts w:ascii="Verdana" w:hAnsi="Verdana"/>
          <w:noProof/>
          <w:sz w:val="20"/>
          <w:szCs w:val="20"/>
        </w:rPr>
        <w:t xml:space="preserve"> </w:t>
      </w:r>
      <w:r w:rsidRPr="00134EA4">
        <w:rPr>
          <w:rFonts w:ascii="Verdana" w:hAnsi="Verdana"/>
          <w:noProof/>
          <w:sz w:val="20"/>
          <w:szCs w:val="20"/>
        </w:rPr>
        <w:t xml:space="preserve"> a wskaźnik otyłości osiągnął najniższy poziom od początku rea</w:t>
      </w:r>
      <w:r w:rsidR="00134EA4">
        <w:rPr>
          <w:rFonts w:ascii="Verdana" w:hAnsi="Verdana"/>
          <w:noProof/>
          <w:sz w:val="20"/>
          <w:szCs w:val="20"/>
        </w:rPr>
        <w:t>lizacji programu (tabela 2).</w:t>
      </w:r>
    </w:p>
    <w:p w:rsidR="007458AB" w:rsidRPr="00134EA4" w:rsidRDefault="007458AB" w:rsidP="007458AB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lastRenderedPageBreak/>
        <w:t xml:space="preserve">Tabela 2. </w:t>
      </w:r>
    </w:p>
    <w:p w:rsidR="007458AB" w:rsidRPr="00134EA4" w:rsidRDefault="007458AB" w:rsidP="007458AB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134EA4">
        <w:rPr>
          <w:rFonts w:ascii="Verdana" w:hAnsi="Verdana"/>
          <w:b/>
          <w:noProof/>
          <w:sz w:val="20"/>
          <w:szCs w:val="20"/>
        </w:rPr>
        <w:t>Wyniki badań przesiewowych uzyskane w programie od 2012 do 2017 roku</w:t>
      </w:r>
    </w:p>
    <w:p w:rsidR="007458AB" w:rsidRPr="00134EA4" w:rsidRDefault="007458AB" w:rsidP="007458AB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</w:rPr>
      </w:pPr>
    </w:p>
    <w:tbl>
      <w:tblPr>
        <w:tblW w:w="8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416"/>
        <w:gridCol w:w="1416"/>
        <w:gridCol w:w="1416"/>
        <w:gridCol w:w="1416"/>
        <w:gridCol w:w="1416"/>
      </w:tblGrid>
      <w:tr w:rsidR="007458AB" w:rsidRPr="00134EA4" w:rsidTr="007458AB">
        <w:trPr>
          <w:trHeight w:val="393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AB" w:rsidRPr="00134EA4" w:rsidRDefault="007458AB" w:rsidP="007458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Uczniowie z zaburzeniami (%)</w:t>
            </w:r>
          </w:p>
        </w:tc>
      </w:tr>
      <w:tr w:rsidR="007458AB" w:rsidRPr="00134EA4" w:rsidTr="007458AB">
        <w:trPr>
          <w:trHeight w:val="28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AB" w:rsidRPr="00134EA4" w:rsidRDefault="007458AB" w:rsidP="007458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Edycja 2012/2013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Edycja 2013/2014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Edycja 2014/2015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Edycja 2015/2016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Edycja 2016/2017</w:t>
            </w:r>
          </w:p>
        </w:tc>
      </w:tr>
      <w:tr w:rsidR="007458AB" w:rsidRPr="00134EA4" w:rsidTr="00C93B19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C93B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Niedobór wzrostu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1,86%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1,14%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1,87%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2,13%</w:t>
            </w:r>
          </w:p>
        </w:tc>
      </w:tr>
      <w:tr w:rsidR="007458AB" w:rsidRPr="00134EA4" w:rsidTr="00C93B19">
        <w:trPr>
          <w:trHeight w:val="28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C93B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Niedobór masy ciała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5,16%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4,38%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4,93%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5,73%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9,31%</w:t>
            </w:r>
          </w:p>
        </w:tc>
      </w:tr>
      <w:tr w:rsidR="007458AB" w:rsidRPr="00134EA4" w:rsidTr="00C93B19">
        <w:trPr>
          <w:trHeight w:val="28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C93B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sz w:val="20"/>
                <w:szCs w:val="20"/>
              </w:rPr>
              <w:t>Nadmierna masa ciała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14,70%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13,64%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14,14%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13,35%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A03D47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11,96</w:t>
            </w:r>
            <w:r w:rsidR="007458AB" w:rsidRPr="00134EA4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458AB" w:rsidRPr="00134EA4" w:rsidTr="00C93B19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C93B19">
            <w:pPr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Nadwaga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8,35%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7,37%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7,87%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7,49%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9,61%</w:t>
            </w:r>
          </w:p>
        </w:tc>
      </w:tr>
      <w:tr w:rsidR="007458AB" w:rsidRPr="00134EA4" w:rsidTr="00C93B19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C93B19">
            <w:pPr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Otyłość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6,35%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6,27%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6,27%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5,86%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AB" w:rsidRPr="00134EA4" w:rsidRDefault="007458AB" w:rsidP="007458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2,35%</w:t>
            </w:r>
          </w:p>
        </w:tc>
      </w:tr>
    </w:tbl>
    <w:p w:rsidR="007458AB" w:rsidRPr="00134EA4" w:rsidRDefault="007458AB" w:rsidP="007458AB">
      <w:pPr>
        <w:spacing w:before="240"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 xml:space="preserve">Rodzice dzieci ze stwierdzonymi nieprawidłowościami otrzymali list, w którym zostali poinformowani o możliwości skorzystania z indywidualnych porad edukacyjnych prowadzonych przez zespół specjalistów zajmujący się leczeniem zaburzeń wieku rozwojowego. Wraz z listem został przekazany poradnik dla rodziców, kwestionariusz wywiadu dietetycznego oraz </w:t>
      </w:r>
      <w:r w:rsidRPr="005847A1">
        <w:rPr>
          <w:rFonts w:ascii="Verdana" w:hAnsi="Verdana"/>
          <w:bCs/>
          <w:sz w:val="20"/>
          <w:szCs w:val="20"/>
        </w:rPr>
        <w:t xml:space="preserve">kalendarz żywieniowy. </w:t>
      </w:r>
      <w:r w:rsidRPr="005847A1">
        <w:rPr>
          <w:rFonts w:ascii="Verdana" w:hAnsi="Verdana"/>
          <w:sz w:val="20"/>
          <w:szCs w:val="20"/>
          <w:shd w:val="clear" w:color="auto" w:fill="FFFFFF"/>
        </w:rPr>
        <w:t xml:space="preserve">Ponadto każde dziecko </w:t>
      </w:r>
      <w:r w:rsidR="005847A1" w:rsidRPr="005847A1">
        <w:rPr>
          <w:rFonts w:ascii="Verdana" w:hAnsi="Verdana"/>
          <w:sz w:val="20"/>
          <w:szCs w:val="20"/>
          <w:shd w:val="clear" w:color="auto" w:fill="FFFFFF"/>
        </w:rPr>
        <w:t>(</w:t>
      </w:r>
      <w:r w:rsidRPr="005847A1">
        <w:rPr>
          <w:rFonts w:ascii="Verdana" w:hAnsi="Verdana"/>
          <w:sz w:val="20"/>
          <w:szCs w:val="20"/>
          <w:shd w:val="clear" w:color="auto" w:fill="FFFFFF"/>
        </w:rPr>
        <w:t>spoza klasy I, III, V szkoły podstawowej</w:t>
      </w:r>
      <w:r w:rsidR="005847A1" w:rsidRPr="005847A1">
        <w:rPr>
          <w:rFonts w:ascii="Verdana" w:hAnsi="Verdana"/>
          <w:sz w:val="20"/>
          <w:szCs w:val="20"/>
          <w:shd w:val="clear" w:color="auto" w:fill="FFFFFF"/>
        </w:rPr>
        <w:t>)</w:t>
      </w:r>
      <w:r w:rsidRPr="005847A1">
        <w:rPr>
          <w:rFonts w:ascii="Verdana" w:hAnsi="Verdana"/>
          <w:sz w:val="20"/>
          <w:szCs w:val="20"/>
          <w:shd w:val="clear" w:color="auto" w:fill="FFFFFF"/>
        </w:rPr>
        <w:t>,  u którego pielęgniarka</w:t>
      </w:r>
      <w:r w:rsidRPr="00134EA4">
        <w:rPr>
          <w:rFonts w:ascii="Verdana" w:hAnsi="Verdana"/>
          <w:sz w:val="20"/>
          <w:szCs w:val="20"/>
          <w:shd w:val="clear" w:color="auto" w:fill="FFFFFF"/>
        </w:rPr>
        <w:t xml:space="preserve"> szkolna stwi</w:t>
      </w:r>
      <w:r w:rsidR="005847A1">
        <w:rPr>
          <w:rFonts w:ascii="Verdana" w:hAnsi="Verdana"/>
          <w:sz w:val="20"/>
          <w:szCs w:val="20"/>
          <w:shd w:val="clear" w:color="auto" w:fill="FFFFFF"/>
        </w:rPr>
        <w:t>erdziła</w:t>
      </w:r>
      <w:r w:rsidRPr="00134EA4">
        <w:rPr>
          <w:rFonts w:ascii="Verdana" w:hAnsi="Verdana"/>
          <w:sz w:val="20"/>
          <w:szCs w:val="20"/>
          <w:shd w:val="clear" w:color="auto" w:fill="FFFFFF"/>
        </w:rPr>
        <w:t xml:space="preserve"> nieprawidłowości związane z okresem rozwojowym</w:t>
      </w:r>
      <w:r w:rsidR="005847A1">
        <w:rPr>
          <w:rFonts w:ascii="Verdana" w:hAnsi="Verdana"/>
          <w:sz w:val="20"/>
          <w:szCs w:val="20"/>
          <w:shd w:val="clear" w:color="auto" w:fill="FFFFFF"/>
        </w:rPr>
        <w:t>,</w:t>
      </w:r>
      <w:r w:rsidRPr="00134EA4">
        <w:rPr>
          <w:rFonts w:ascii="Verdana" w:hAnsi="Verdana"/>
          <w:sz w:val="20"/>
          <w:szCs w:val="20"/>
          <w:shd w:val="clear" w:color="auto" w:fill="FFFFFF"/>
        </w:rPr>
        <w:t xml:space="preserve"> również mogło zgłosić się na edukację.</w:t>
      </w:r>
    </w:p>
    <w:p w:rsidR="007458AB" w:rsidRPr="00134EA4" w:rsidRDefault="007458AB" w:rsidP="007458A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 xml:space="preserve">Kolejny etap programu obejmował indywidualne konsultacje, w ramach których lekarz pediatra, dietetyk, </w:t>
      </w:r>
      <w:r w:rsidR="000928B3">
        <w:rPr>
          <w:rFonts w:ascii="Verdana" w:hAnsi="Verdana"/>
          <w:sz w:val="20"/>
          <w:szCs w:val="20"/>
        </w:rPr>
        <w:t>fizjoterapeuta</w:t>
      </w:r>
      <w:r w:rsidRPr="00134EA4">
        <w:rPr>
          <w:rFonts w:ascii="Verdana" w:hAnsi="Verdana"/>
          <w:sz w:val="20"/>
          <w:szCs w:val="20"/>
        </w:rPr>
        <w:t xml:space="preserve"> oraz psycholog udzielali specjalistycznych porad w zakresie profilaktyki i leczenia nadwagi, otyłości i innych zaburzeń okresu dorastania. Edukacja zdrowotna prowadzona była w dwóch punktach:</w:t>
      </w:r>
    </w:p>
    <w:p w:rsidR="007458AB" w:rsidRPr="00134EA4" w:rsidRDefault="007458AB" w:rsidP="007458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>Klinice Endokrynologii i Diabetologii Wieku Rozwojowego, ul. Chałubińskiego 2, Wrocław;</w:t>
      </w:r>
    </w:p>
    <w:p w:rsidR="007458AB" w:rsidRPr="00134EA4" w:rsidRDefault="007458AB" w:rsidP="007458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>Wrocławskim Centrum Zdrowia – Przychodnia „Stare Miasto”, pl. Dominikański 6, Wrocław.</w:t>
      </w:r>
    </w:p>
    <w:p w:rsidR="008532BC" w:rsidRPr="00134EA4" w:rsidRDefault="00134EA4" w:rsidP="008532BC">
      <w:pPr>
        <w:tabs>
          <w:tab w:val="left" w:pos="6804"/>
        </w:tabs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specjalis</w:t>
      </w:r>
      <w:r w:rsidR="008532BC" w:rsidRPr="00134EA4">
        <w:rPr>
          <w:rFonts w:ascii="Verdana" w:hAnsi="Verdana"/>
          <w:sz w:val="20"/>
          <w:szCs w:val="20"/>
        </w:rPr>
        <w:t>tyczne konsultacje zgłosiło się 163 dzieci (84 dziewczęta oraz 79 chłopców)  wraz z rodzicami/opie</w:t>
      </w:r>
      <w:r w:rsidR="0026712D" w:rsidRPr="00134EA4">
        <w:rPr>
          <w:rFonts w:ascii="Verdana" w:hAnsi="Verdana"/>
          <w:sz w:val="20"/>
          <w:szCs w:val="20"/>
        </w:rPr>
        <w:t>kunami, co stanowiło 5,5</w:t>
      </w:r>
      <w:r w:rsidR="008532BC" w:rsidRPr="00134EA4">
        <w:rPr>
          <w:rFonts w:ascii="Verdana" w:hAnsi="Verdana"/>
          <w:sz w:val="20"/>
          <w:szCs w:val="20"/>
        </w:rPr>
        <w:t>% wszystkich uczniów, u których wykazano nieprawidłowości rozwojowe. Największą zgłaszalność na indywidualn</w:t>
      </w:r>
      <w:r w:rsidR="00CC3A99" w:rsidRPr="00134EA4">
        <w:rPr>
          <w:rFonts w:ascii="Verdana" w:hAnsi="Verdana"/>
          <w:sz w:val="20"/>
          <w:szCs w:val="20"/>
        </w:rPr>
        <w:t>e konsultacje odnotowano wśród pierwszo</w:t>
      </w:r>
      <w:r w:rsidR="008532BC" w:rsidRPr="00134EA4">
        <w:rPr>
          <w:rFonts w:ascii="Verdana" w:hAnsi="Verdana"/>
          <w:sz w:val="20"/>
          <w:szCs w:val="20"/>
        </w:rPr>
        <w:t>klas</w:t>
      </w:r>
      <w:r w:rsidR="00CC3A99" w:rsidRPr="00134EA4">
        <w:rPr>
          <w:rFonts w:ascii="Verdana" w:hAnsi="Verdana"/>
          <w:sz w:val="20"/>
          <w:szCs w:val="20"/>
        </w:rPr>
        <w:t>istów – 7,55%</w:t>
      </w:r>
      <w:r w:rsidR="008532BC" w:rsidRPr="00134EA4">
        <w:rPr>
          <w:rFonts w:ascii="Verdana" w:hAnsi="Verdana"/>
          <w:sz w:val="20"/>
          <w:szCs w:val="20"/>
        </w:rPr>
        <w:t>, a najmniejszą w grupie uczniów z </w:t>
      </w:r>
      <w:r w:rsidR="00CC3A99" w:rsidRPr="00134EA4">
        <w:rPr>
          <w:rFonts w:ascii="Verdana" w:hAnsi="Verdana"/>
          <w:sz w:val="20"/>
          <w:szCs w:val="20"/>
        </w:rPr>
        <w:t>klasy V – 3,01%</w:t>
      </w:r>
      <w:r w:rsidR="008532BC" w:rsidRPr="00134EA4">
        <w:rPr>
          <w:rFonts w:ascii="Verdana" w:hAnsi="Verdana"/>
          <w:sz w:val="20"/>
          <w:szCs w:val="20"/>
        </w:rPr>
        <w:t>.  Wśród osób kor</w:t>
      </w:r>
      <w:r w:rsidR="00CC3A99" w:rsidRPr="00134EA4">
        <w:rPr>
          <w:rFonts w:ascii="Verdana" w:hAnsi="Verdana"/>
          <w:sz w:val="20"/>
          <w:szCs w:val="20"/>
        </w:rPr>
        <w:t>zystających z poradnictwa byli również</w:t>
      </w:r>
      <w:r w:rsidR="008532BC" w:rsidRPr="00134EA4">
        <w:rPr>
          <w:rFonts w:ascii="Verdana" w:hAnsi="Verdana"/>
          <w:sz w:val="20"/>
          <w:szCs w:val="20"/>
        </w:rPr>
        <w:t xml:space="preserve"> uczn</w:t>
      </w:r>
      <w:r w:rsidR="00512A9B" w:rsidRPr="00134EA4">
        <w:rPr>
          <w:rFonts w:ascii="Verdana" w:hAnsi="Verdana"/>
          <w:sz w:val="20"/>
          <w:szCs w:val="20"/>
        </w:rPr>
        <w:t>iowie klasy II, IV, VI</w:t>
      </w:r>
      <w:r w:rsidR="008532BC" w:rsidRPr="00134EA4">
        <w:rPr>
          <w:rFonts w:ascii="Verdana" w:hAnsi="Verdana"/>
          <w:sz w:val="20"/>
          <w:szCs w:val="20"/>
        </w:rPr>
        <w:t xml:space="preserve"> (tabela 3).</w:t>
      </w:r>
    </w:p>
    <w:p w:rsidR="00A670D3" w:rsidRDefault="00A670D3" w:rsidP="00512A9B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670D3" w:rsidRDefault="00A670D3" w:rsidP="00512A9B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847A1" w:rsidRDefault="005847A1" w:rsidP="00512A9B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847A1" w:rsidRDefault="005847A1" w:rsidP="00512A9B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670D3" w:rsidRDefault="00A670D3" w:rsidP="00512A9B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12A9B" w:rsidRPr="00134EA4" w:rsidRDefault="00512A9B" w:rsidP="00512A9B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34EA4">
        <w:rPr>
          <w:rFonts w:ascii="Verdana" w:hAnsi="Verdana"/>
          <w:b/>
          <w:sz w:val="20"/>
          <w:szCs w:val="20"/>
        </w:rPr>
        <w:t xml:space="preserve">Tabela 3. </w:t>
      </w:r>
    </w:p>
    <w:p w:rsidR="00512A9B" w:rsidRPr="00134EA4" w:rsidRDefault="00512A9B" w:rsidP="00512A9B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b/>
          <w:sz w:val="20"/>
          <w:szCs w:val="20"/>
        </w:rPr>
        <w:t>Uczniowie uczestniczący w konsultacjach</w:t>
      </w:r>
    </w:p>
    <w:tbl>
      <w:tblPr>
        <w:tblW w:w="7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083"/>
        <w:gridCol w:w="1083"/>
        <w:gridCol w:w="1083"/>
        <w:gridCol w:w="1083"/>
        <w:gridCol w:w="1083"/>
      </w:tblGrid>
      <w:tr w:rsidR="00512A9B" w:rsidRPr="00134EA4" w:rsidTr="00512A9B">
        <w:trPr>
          <w:trHeight w:val="541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A9B" w:rsidRPr="00134EA4" w:rsidRDefault="00512A9B" w:rsidP="00512A9B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4EA4">
              <w:rPr>
                <w:rFonts w:ascii="Verdana" w:hAnsi="Verdana"/>
                <w:b/>
                <w:bCs/>
                <w:sz w:val="16"/>
                <w:szCs w:val="16"/>
              </w:rPr>
              <w:t>Klasa 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4EA4">
              <w:rPr>
                <w:rFonts w:ascii="Verdana" w:hAnsi="Verdana"/>
                <w:b/>
                <w:bCs/>
                <w:sz w:val="16"/>
                <w:szCs w:val="16"/>
              </w:rPr>
              <w:t>Klasa III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4EA4">
              <w:rPr>
                <w:rFonts w:ascii="Verdana" w:hAnsi="Verdana"/>
                <w:b/>
                <w:bCs/>
                <w:sz w:val="16"/>
                <w:szCs w:val="16"/>
              </w:rPr>
              <w:t>Klasa V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4EA4">
              <w:rPr>
                <w:rFonts w:ascii="Verdana" w:hAnsi="Verdana"/>
                <w:b/>
                <w:bCs/>
                <w:sz w:val="16"/>
                <w:szCs w:val="16"/>
              </w:rPr>
              <w:t>Klasa</w:t>
            </w:r>
          </w:p>
          <w:p w:rsidR="00512A9B" w:rsidRPr="00134EA4" w:rsidRDefault="00512A9B" w:rsidP="00512A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4EA4">
              <w:rPr>
                <w:rFonts w:ascii="Verdana" w:hAnsi="Verdana"/>
                <w:b/>
                <w:bCs/>
                <w:sz w:val="16"/>
                <w:szCs w:val="16"/>
              </w:rPr>
              <w:t>II, IV, VI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4EA4">
              <w:rPr>
                <w:rFonts w:ascii="Verdana" w:hAnsi="Verdana"/>
                <w:b/>
                <w:bCs/>
                <w:sz w:val="16"/>
                <w:szCs w:val="16"/>
              </w:rPr>
              <w:t>Pozostali</w:t>
            </w:r>
          </w:p>
        </w:tc>
      </w:tr>
      <w:tr w:rsidR="00512A9B" w:rsidRPr="00134EA4" w:rsidTr="00C93B19">
        <w:trPr>
          <w:trHeight w:val="39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4EA4">
              <w:rPr>
                <w:rFonts w:ascii="Verdana" w:hAnsi="Verdana"/>
                <w:b/>
                <w:bCs/>
                <w:sz w:val="20"/>
                <w:szCs w:val="20"/>
              </w:rPr>
              <w:t>Liczba uczniów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B" w:rsidRPr="00134EA4" w:rsidRDefault="00512A9B" w:rsidP="00512A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</w:tbl>
    <w:p w:rsidR="00512A9B" w:rsidRPr="00134EA4" w:rsidRDefault="00512A9B" w:rsidP="00512A9B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:rsidR="00347BBC" w:rsidRPr="00134EA4" w:rsidRDefault="00347BBC" w:rsidP="00347BBC">
      <w:pPr>
        <w:spacing w:before="240" w:after="240" w:line="360" w:lineRule="auto"/>
        <w:jc w:val="both"/>
        <w:rPr>
          <w:noProof/>
        </w:rPr>
      </w:pPr>
      <w:r w:rsidRPr="00134EA4">
        <w:rPr>
          <w:rFonts w:ascii="Verdana" w:hAnsi="Verdana"/>
          <w:bCs/>
          <w:sz w:val="20"/>
          <w:szCs w:val="20"/>
        </w:rPr>
        <w:t>Procentowy rozkład pacjentów uczestniczących w konsultacjach w odniesieniu do liczby uczniów w danym wieku ze stwierdzonymi nieprawidłowościami stanu zdr</w:t>
      </w:r>
      <w:r w:rsidR="00134EA4">
        <w:rPr>
          <w:rFonts w:ascii="Verdana" w:hAnsi="Verdana"/>
          <w:bCs/>
          <w:sz w:val="20"/>
          <w:szCs w:val="20"/>
        </w:rPr>
        <w:t>owia przedstawiono na wykresie 5</w:t>
      </w:r>
      <w:r w:rsidRPr="00134EA4">
        <w:rPr>
          <w:rFonts w:ascii="Verdana" w:hAnsi="Verdana"/>
          <w:bCs/>
          <w:sz w:val="20"/>
          <w:szCs w:val="20"/>
        </w:rPr>
        <w:t>.</w:t>
      </w:r>
      <w:r w:rsidRPr="00134EA4">
        <w:rPr>
          <w:noProof/>
        </w:rPr>
        <w:t xml:space="preserve"> </w:t>
      </w:r>
    </w:p>
    <w:p w:rsidR="00347BBC" w:rsidRPr="00134EA4" w:rsidRDefault="00134EA4" w:rsidP="00347BB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Wykres 5</w:t>
      </w:r>
      <w:r w:rsidR="00347BBC" w:rsidRPr="00134EA4">
        <w:rPr>
          <w:rFonts w:ascii="Verdana" w:hAnsi="Verdana"/>
          <w:b/>
          <w:sz w:val="20"/>
          <w:szCs w:val="20"/>
        </w:rPr>
        <w:t xml:space="preserve">. </w:t>
      </w:r>
    </w:p>
    <w:p w:rsidR="00347BBC" w:rsidRPr="00134EA4" w:rsidRDefault="00347BBC" w:rsidP="00347BB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34EA4">
        <w:rPr>
          <w:rFonts w:ascii="Verdana" w:hAnsi="Verdana"/>
          <w:b/>
          <w:sz w:val="20"/>
          <w:szCs w:val="20"/>
        </w:rPr>
        <w:t>Uczniowie uczestniczący w konsultacjach (%)</w:t>
      </w:r>
    </w:p>
    <w:p w:rsidR="00347BBC" w:rsidRPr="00134EA4" w:rsidRDefault="000D42F2" w:rsidP="00347BBC">
      <w:pPr>
        <w:spacing w:before="240"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0D42F2">
        <w:rPr>
          <w:rFonts w:ascii="Verdana" w:hAnsi="Verdana"/>
          <w:bCs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70D3" w:rsidRDefault="00512A9B" w:rsidP="00A670D3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>W ramach trzeciego etapu programu specjaliści udzielili łącznie 612 porad edukacyjnych. Rodzice i opiekunowie najczęściej korzystali z pomocy lekarza, który przeprowadził 160 konsultacji. Do dietetyka zgłosiło się 159 dzieci. Z poradnictwa fizjoterapeuty rodzice skorzystali 158 razy. Psycholog udzielił 135 porad. Rozkład konsultacji przeprowadzonych w poszczególnych grupach wiek</w:t>
      </w:r>
      <w:r w:rsidR="00A670D3">
        <w:rPr>
          <w:rFonts w:ascii="Verdana" w:hAnsi="Verdana"/>
          <w:sz w:val="20"/>
          <w:szCs w:val="20"/>
        </w:rPr>
        <w:t>owych przedstawiono w tabeli 4.</w:t>
      </w:r>
    </w:p>
    <w:p w:rsidR="00A670D3" w:rsidRDefault="00A670D3" w:rsidP="00A670D3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:rsidR="00A670D3" w:rsidRDefault="00A670D3" w:rsidP="00A670D3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:rsidR="00A670D3" w:rsidRDefault="00A670D3" w:rsidP="00A670D3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:rsidR="00A670D3" w:rsidRDefault="00A670D3" w:rsidP="00A670D3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:rsidR="00A670D3" w:rsidRDefault="00A670D3" w:rsidP="00A670D3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:rsidR="00DF7633" w:rsidRPr="00A670D3" w:rsidRDefault="00DF7633" w:rsidP="00A670D3">
      <w:pPr>
        <w:tabs>
          <w:tab w:val="left" w:pos="680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b/>
          <w:sz w:val="20"/>
          <w:szCs w:val="20"/>
        </w:rPr>
        <w:t xml:space="preserve">Tabela 4. </w:t>
      </w:r>
    </w:p>
    <w:p w:rsidR="00DF7633" w:rsidRPr="00134EA4" w:rsidRDefault="00DF7633" w:rsidP="00DF7633">
      <w:pPr>
        <w:tabs>
          <w:tab w:val="left" w:pos="680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b/>
          <w:sz w:val="20"/>
          <w:szCs w:val="20"/>
        </w:rPr>
        <w:t>Uczniowie uczestniczący w konsultacjach z uwzględnieniem specjalistów</w:t>
      </w:r>
    </w:p>
    <w:p w:rsidR="00DF7633" w:rsidRPr="00134EA4" w:rsidRDefault="00DF7633" w:rsidP="00DF7633">
      <w:pPr>
        <w:tabs>
          <w:tab w:val="left" w:pos="680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73"/>
        <w:gridCol w:w="1701"/>
      </w:tblGrid>
      <w:tr w:rsidR="00DF7633" w:rsidRPr="00134EA4" w:rsidTr="00C93B1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33" w:rsidRPr="00134EA4" w:rsidRDefault="00DF7633" w:rsidP="00DF76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bCs/>
                <w:sz w:val="20"/>
                <w:szCs w:val="20"/>
              </w:rPr>
              <w:t>Liczba konsultacji</w:t>
            </w:r>
          </w:p>
        </w:tc>
      </w:tr>
      <w:tr w:rsidR="00DF7633" w:rsidRPr="00134EA4" w:rsidTr="00C93B1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33" w:rsidRPr="00134EA4" w:rsidRDefault="00DF7633" w:rsidP="00DF76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Lekarz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Dietetyk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Fizjoterapeuta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Psycholog</w:t>
            </w:r>
          </w:p>
        </w:tc>
      </w:tr>
      <w:tr w:rsidR="00DF7633" w:rsidRPr="00134EA4" w:rsidTr="00C93B1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Klasa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DF7633" w:rsidRPr="00134EA4" w:rsidTr="00C93B1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Klasa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DF7633" w:rsidRPr="00134EA4" w:rsidTr="00C93B1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Klasa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EA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DF7633" w:rsidRPr="00134EA4" w:rsidTr="00C93B1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4EA4">
              <w:rPr>
                <w:rFonts w:ascii="Verdana" w:hAnsi="Verdana" w:cs="Arial"/>
                <w:b/>
                <w:sz w:val="20"/>
                <w:szCs w:val="20"/>
              </w:rPr>
              <w:t>Pozostali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33" w:rsidRPr="00134EA4" w:rsidRDefault="00DF7633" w:rsidP="00DF76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EA4"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</w:tbl>
    <w:p w:rsidR="00347BBC" w:rsidRPr="00134EA4" w:rsidRDefault="00347BBC" w:rsidP="00347BB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>Wśród uczestników konsultacji najwięcej było uczniów</w:t>
      </w:r>
      <w:r w:rsidR="00351012" w:rsidRPr="00134EA4">
        <w:rPr>
          <w:rFonts w:ascii="Verdana" w:hAnsi="Verdana"/>
          <w:sz w:val="20"/>
          <w:szCs w:val="20"/>
        </w:rPr>
        <w:t xml:space="preserve"> z nadwagą,</w:t>
      </w:r>
      <w:r w:rsidRPr="00134EA4">
        <w:rPr>
          <w:rFonts w:ascii="Verdana" w:hAnsi="Verdana"/>
          <w:sz w:val="20"/>
          <w:szCs w:val="20"/>
        </w:rPr>
        <w:t xml:space="preserve"> przeważa</w:t>
      </w:r>
      <w:r w:rsidR="00351012" w:rsidRPr="00134EA4">
        <w:rPr>
          <w:rFonts w:ascii="Verdana" w:hAnsi="Verdana"/>
          <w:sz w:val="20"/>
          <w:szCs w:val="20"/>
        </w:rPr>
        <w:t xml:space="preserve">ły dziewczęta. Dzieci, których wskaźnik BMI był równy lub powyżej 97 </w:t>
      </w:r>
      <w:proofErr w:type="spellStart"/>
      <w:r w:rsidR="00351012" w:rsidRPr="00134EA4">
        <w:rPr>
          <w:rFonts w:ascii="Verdana" w:hAnsi="Verdana"/>
          <w:sz w:val="20"/>
          <w:szCs w:val="20"/>
        </w:rPr>
        <w:t>centyla</w:t>
      </w:r>
      <w:proofErr w:type="spellEnd"/>
      <w:r w:rsidR="00351012" w:rsidRPr="00134EA4">
        <w:rPr>
          <w:rFonts w:ascii="Verdana" w:hAnsi="Verdana"/>
          <w:sz w:val="20"/>
          <w:szCs w:val="20"/>
        </w:rPr>
        <w:t xml:space="preserve"> </w:t>
      </w:r>
      <w:r w:rsidRPr="00134EA4">
        <w:rPr>
          <w:rFonts w:ascii="Verdana" w:hAnsi="Verdana"/>
          <w:sz w:val="20"/>
          <w:szCs w:val="20"/>
        </w:rPr>
        <w:t>stanowiły kolejną grupę, tu również dominowała płeć żeńska. Na kolejnej pozycji znaleźli się uczniowie ze stwierdzonym niedob</w:t>
      </w:r>
      <w:r w:rsidR="00351012" w:rsidRPr="00134EA4">
        <w:rPr>
          <w:rFonts w:ascii="Verdana" w:hAnsi="Verdana"/>
          <w:sz w:val="20"/>
          <w:szCs w:val="20"/>
        </w:rPr>
        <w:t>orem masy ciała – zaburzenie było częściej diagnozowane wśród chłopców.</w:t>
      </w:r>
      <w:r w:rsidR="0096345A" w:rsidRPr="00134EA4">
        <w:rPr>
          <w:rFonts w:ascii="Verdana" w:hAnsi="Verdana"/>
          <w:sz w:val="20"/>
          <w:szCs w:val="20"/>
        </w:rPr>
        <w:t xml:space="preserve"> </w:t>
      </w:r>
      <w:r w:rsidRPr="00134EA4">
        <w:rPr>
          <w:rFonts w:ascii="Verdana" w:hAnsi="Verdana"/>
          <w:sz w:val="20"/>
          <w:szCs w:val="20"/>
        </w:rPr>
        <w:t xml:space="preserve">Najmniejszą grupę stanowili badani zakwalifikowani do programu ze względu na </w:t>
      </w:r>
      <w:r w:rsidR="00351012" w:rsidRPr="00134EA4">
        <w:rPr>
          <w:rFonts w:ascii="Verdana" w:hAnsi="Verdana"/>
          <w:sz w:val="20"/>
          <w:szCs w:val="20"/>
        </w:rPr>
        <w:t>niedobór wzrostu (wykres</w:t>
      </w:r>
      <w:r w:rsidR="0096345A" w:rsidRPr="00134EA4">
        <w:rPr>
          <w:rFonts w:ascii="Verdana" w:hAnsi="Verdana"/>
          <w:sz w:val="20"/>
          <w:szCs w:val="20"/>
        </w:rPr>
        <w:t>y</w:t>
      </w:r>
      <w:r w:rsidR="00C93B19">
        <w:rPr>
          <w:rFonts w:ascii="Verdana" w:hAnsi="Verdana"/>
          <w:sz w:val="20"/>
          <w:szCs w:val="20"/>
        </w:rPr>
        <w:t xml:space="preserve"> 6 i 7</w:t>
      </w:r>
      <w:r w:rsidR="00351012" w:rsidRPr="00134EA4">
        <w:rPr>
          <w:rFonts w:ascii="Verdana" w:hAnsi="Verdana"/>
          <w:sz w:val="20"/>
          <w:szCs w:val="20"/>
        </w:rPr>
        <w:t>)</w:t>
      </w:r>
      <w:r w:rsidRPr="00134EA4">
        <w:rPr>
          <w:rFonts w:ascii="Verdana" w:hAnsi="Verdana"/>
          <w:sz w:val="20"/>
          <w:szCs w:val="20"/>
        </w:rPr>
        <w:t>.</w:t>
      </w:r>
    </w:p>
    <w:p w:rsidR="00347BBC" w:rsidRPr="00134EA4" w:rsidRDefault="00C93B19" w:rsidP="00347BB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Wykres 6</w:t>
      </w:r>
      <w:r w:rsidR="00347BBC" w:rsidRPr="00134EA4">
        <w:rPr>
          <w:rFonts w:ascii="Verdana" w:hAnsi="Verdana"/>
          <w:b/>
          <w:sz w:val="20"/>
          <w:szCs w:val="20"/>
        </w:rPr>
        <w:t xml:space="preserve">. </w:t>
      </w:r>
    </w:p>
    <w:p w:rsidR="00347BBC" w:rsidRPr="00134EA4" w:rsidRDefault="00347BBC" w:rsidP="00347BB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34EA4">
        <w:rPr>
          <w:rFonts w:ascii="Verdana" w:hAnsi="Verdana"/>
          <w:b/>
          <w:sz w:val="20"/>
          <w:szCs w:val="20"/>
        </w:rPr>
        <w:t xml:space="preserve">Rodzaj zaburzeń stwierdzonych u pacjentów </w:t>
      </w:r>
      <w:r w:rsidR="005160D2">
        <w:rPr>
          <w:rFonts w:ascii="Verdana" w:hAnsi="Verdana"/>
          <w:b/>
          <w:sz w:val="20"/>
          <w:szCs w:val="20"/>
        </w:rPr>
        <w:t>uczestniczących w konsultacjach </w:t>
      </w:r>
      <w:r w:rsidRPr="00134EA4">
        <w:rPr>
          <w:rFonts w:ascii="Verdana" w:hAnsi="Verdana"/>
          <w:b/>
          <w:sz w:val="20"/>
          <w:szCs w:val="20"/>
        </w:rPr>
        <w:t>(%)</w:t>
      </w:r>
    </w:p>
    <w:p w:rsidR="00512A9B" w:rsidRPr="00134EA4" w:rsidRDefault="00347BBC" w:rsidP="008532BC">
      <w:pPr>
        <w:tabs>
          <w:tab w:val="left" w:pos="6804"/>
        </w:tabs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345A" w:rsidRPr="00134EA4" w:rsidRDefault="0096345A" w:rsidP="00374C2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C93B19" w:rsidRDefault="00C93B19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93B19" w:rsidRDefault="00C93B19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93B19" w:rsidRDefault="00C93B19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93B19" w:rsidRDefault="00C93B19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93B19" w:rsidRDefault="00C93B19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93B19" w:rsidRDefault="00C93B19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96345A" w:rsidRPr="00134EA4" w:rsidRDefault="00C93B19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Wykres 7</w:t>
      </w:r>
      <w:r w:rsidR="0096345A" w:rsidRPr="00134EA4">
        <w:rPr>
          <w:rFonts w:ascii="Verdana" w:hAnsi="Verdana"/>
          <w:b/>
          <w:sz w:val="20"/>
          <w:szCs w:val="20"/>
        </w:rPr>
        <w:t xml:space="preserve">. </w:t>
      </w:r>
    </w:p>
    <w:p w:rsidR="0096345A" w:rsidRPr="00134EA4" w:rsidRDefault="0096345A" w:rsidP="0096345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34EA4">
        <w:rPr>
          <w:rFonts w:ascii="Verdana" w:hAnsi="Verdana"/>
          <w:b/>
          <w:sz w:val="20"/>
          <w:szCs w:val="20"/>
        </w:rPr>
        <w:t>Rodzaj zaburzeń stwierdzonych u pacjentów uczestniczących w konsultacjach z podziałem na płeć</w:t>
      </w:r>
    </w:p>
    <w:p w:rsidR="0096345A" w:rsidRPr="00134EA4" w:rsidRDefault="0096345A" w:rsidP="00374C2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96345A" w:rsidRPr="00134EA4" w:rsidRDefault="0096345A" w:rsidP="00374C2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4C23" w:rsidRPr="00134EA4" w:rsidRDefault="00374C23" w:rsidP="00374C2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>U dzieci uczestniczących w konsultacjach poza zaburzeniami wzrostu i masy ciała współwystępowały r</w:t>
      </w:r>
      <w:r w:rsidR="00A505C8" w:rsidRPr="00134EA4">
        <w:rPr>
          <w:rFonts w:ascii="Verdana" w:hAnsi="Verdana"/>
          <w:sz w:val="20"/>
          <w:szCs w:val="20"/>
        </w:rPr>
        <w:t xml:space="preserve">ównież inne problemy zdrowotne. </w:t>
      </w:r>
      <w:r w:rsidRPr="00134EA4">
        <w:rPr>
          <w:rFonts w:ascii="Verdana" w:hAnsi="Verdana"/>
          <w:sz w:val="20"/>
          <w:szCs w:val="20"/>
        </w:rPr>
        <w:t xml:space="preserve">Do najczęstszych należały zaburzenia endokrynologiczne (związane z niedoczynnością tarczycy i przedwczesnym dojrzewaniem płciowym), gastroenterologiczne, kardiologiczne (szmery nad sercem) diabetologiczne, podwyższone ciśnienie krwi. U pojedynczych osób stwierdzono: zaburzenia </w:t>
      </w:r>
      <w:r w:rsidR="00A505C8" w:rsidRPr="00134EA4">
        <w:rPr>
          <w:rFonts w:ascii="Verdana" w:hAnsi="Verdana"/>
          <w:sz w:val="20"/>
          <w:szCs w:val="20"/>
        </w:rPr>
        <w:t>alergologiczne i nefrologiczne.</w:t>
      </w:r>
    </w:p>
    <w:p w:rsidR="00374C23" w:rsidRPr="00134EA4" w:rsidRDefault="00374C23" w:rsidP="00A505C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 xml:space="preserve">Podczas konsultacji omówiono prawidłowy rozwój dziecka oraz zalecono odpowiednią w stosunku do stwierdzonych nieprawidłowości modyfikację stylu życia. Rodzice otrzymali wskazówki odnośnie dalszego postępowania. </w:t>
      </w:r>
    </w:p>
    <w:p w:rsidR="00374C23" w:rsidRPr="00134EA4" w:rsidRDefault="00374C23" w:rsidP="00374C2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 xml:space="preserve">Do dietetyka zgłosiło się </w:t>
      </w:r>
      <w:r w:rsidR="00A505C8" w:rsidRPr="00134EA4">
        <w:rPr>
          <w:rFonts w:ascii="Verdana" w:hAnsi="Verdana"/>
          <w:bCs/>
          <w:sz w:val="20"/>
          <w:szCs w:val="20"/>
        </w:rPr>
        <w:t>159</w:t>
      </w:r>
      <w:r w:rsidRPr="00134EA4">
        <w:rPr>
          <w:rFonts w:ascii="Verdana" w:hAnsi="Verdana"/>
          <w:bCs/>
          <w:sz w:val="20"/>
          <w:szCs w:val="20"/>
        </w:rPr>
        <w:t xml:space="preserve"> uczniów wraz z rodzicami/opiekunami.</w:t>
      </w:r>
    </w:p>
    <w:p w:rsidR="0096345A" w:rsidRPr="00134EA4" w:rsidRDefault="0096345A" w:rsidP="00374C2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U dzieci z nadwagą i otyłością najczęstsze błędy żywieniowe dotyczyły:</w:t>
      </w:r>
    </w:p>
    <w:p w:rsidR="0096345A" w:rsidRPr="00134EA4" w:rsidRDefault="0096345A" w:rsidP="009634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zbyt częstego spożywania słodyczy;</w:t>
      </w:r>
    </w:p>
    <w:p w:rsidR="0096345A" w:rsidRPr="00134EA4" w:rsidRDefault="0096345A" w:rsidP="009634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nadmiaru produktów i przekąsek wysokotłuszczowych;</w:t>
      </w:r>
    </w:p>
    <w:p w:rsidR="0096345A" w:rsidRPr="00134EA4" w:rsidRDefault="0096345A" w:rsidP="009634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nieregularnych posiłków;</w:t>
      </w:r>
    </w:p>
    <w:p w:rsidR="0096345A" w:rsidRPr="00134EA4" w:rsidRDefault="0096345A" w:rsidP="009634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spożywania niedostatecznej ilości płynów, głównie wody – zastępowanie jej słodzonymi napojami (wodami smakowymi, słodkimi herbatami, mlekiem);</w:t>
      </w:r>
    </w:p>
    <w:p w:rsidR="0096345A" w:rsidRPr="00134EA4" w:rsidRDefault="0096345A" w:rsidP="00374C2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braku warzyw i owoców w diecie.</w:t>
      </w:r>
    </w:p>
    <w:p w:rsidR="0096345A" w:rsidRPr="00134EA4" w:rsidRDefault="002B25F4" w:rsidP="002B25F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Głównym problemem zdiagnozowanym</w:t>
      </w:r>
      <w:r w:rsidR="00374C23" w:rsidRPr="00134EA4">
        <w:rPr>
          <w:rFonts w:ascii="Verdana" w:hAnsi="Verdana"/>
          <w:bCs/>
          <w:sz w:val="20"/>
          <w:szCs w:val="20"/>
        </w:rPr>
        <w:t xml:space="preserve"> u pacjentów</w:t>
      </w:r>
      <w:r w:rsidR="0096345A" w:rsidRPr="00134EA4">
        <w:rPr>
          <w:rFonts w:ascii="Verdana" w:hAnsi="Verdana"/>
          <w:bCs/>
          <w:sz w:val="20"/>
          <w:szCs w:val="20"/>
        </w:rPr>
        <w:t xml:space="preserve"> </w:t>
      </w:r>
      <w:r w:rsidR="00A670D3">
        <w:rPr>
          <w:rFonts w:ascii="Verdana" w:hAnsi="Verdana"/>
          <w:bCs/>
          <w:sz w:val="20"/>
          <w:szCs w:val="20"/>
        </w:rPr>
        <w:t xml:space="preserve">z </w:t>
      </w:r>
      <w:r w:rsidR="0096345A" w:rsidRPr="00134EA4">
        <w:rPr>
          <w:rFonts w:ascii="Verdana" w:hAnsi="Verdana"/>
          <w:bCs/>
          <w:sz w:val="20"/>
          <w:szCs w:val="20"/>
        </w:rPr>
        <w:t xml:space="preserve">niedoborem masy ciała </w:t>
      </w:r>
      <w:r w:rsidRPr="00134EA4">
        <w:rPr>
          <w:rFonts w:ascii="Verdana" w:hAnsi="Verdana"/>
          <w:sz w:val="20"/>
          <w:szCs w:val="20"/>
        </w:rPr>
        <w:t xml:space="preserve">były </w:t>
      </w:r>
      <w:r w:rsidR="0096345A" w:rsidRPr="00134EA4">
        <w:rPr>
          <w:rFonts w:ascii="Verdana" w:hAnsi="Verdana"/>
          <w:sz w:val="20"/>
          <w:szCs w:val="20"/>
        </w:rPr>
        <w:t>nieregularne i niewystarczająco wartościowe posiłki.</w:t>
      </w:r>
      <w:r w:rsidR="00374C23" w:rsidRPr="00134EA4">
        <w:rPr>
          <w:rFonts w:ascii="Verdana" w:hAnsi="Verdana"/>
          <w:bCs/>
          <w:sz w:val="20"/>
          <w:szCs w:val="20"/>
        </w:rPr>
        <w:t xml:space="preserve"> </w:t>
      </w:r>
    </w:p>
    <w:p w:rsidR="00374C23" w:rsidRPr="00134EA4" w:rsidRDefault="00374C23" w:rsidP="00374C23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lastRenderedPageBreak/>
        <w:t>W ramach konsultacji ustalono z rodzicami/opiekunami dzienne zapotrzebowanie energetyczne, przedstawiono listę produktów polecanych i przeciwwskazanych w diecie oraz schemat jadłospisu. Najczęściej zalecana była dieta niskotłuszczowa, z ograniczeniem cukrów prostych oraz wyeliminowaniem polepszaczy, barwników i sztucznych konserwantów.</w:t>
      </w:r>
    </w:p>
    <w:p w:rsidR="00C20D43" w:rsidRPr="00134EA4" w:rsidRDefault="00374C23" w:rsidP="00C20D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 xml:space="preserve">Po specjalistyczną wiedzę z zakresu profilaktyki i leczenia zaburzeń okresu rozwojowego do </w:t>
      </w:r>
      <w:r w:rsidR="00A505C8" w:rsidRPr="00134EA4">
        <w:rPr>
          <w:rFonts w:ascii="Verdana" w:hAnsi="Verdana"/>
          <w:sz w:val="20"/>
          <w:szCs w:val="20"/>
        </w:rPr>
        <w:t>fizjoterapeuty</w:t>
      </w:r>
      <w:r w:rsidRPr="00134EA4">
        <w:rPr>
          <w:rFonts w:ascii="Verdana" w:hAnsi="Verdana"/>
          <w:sz w:val="20"/>
          <w:szCs w:val="20"/>
        </w:rPr>
        <w:t xml:space="preserve"> zgłosiło się</w:t>
      </w:r>
      <w:r w:rsidR="00A505C8" w:rsidRPr="00134EA4">
        <w:rPr>
          <w:rFonts w:ascii="Verdana" w:hAnsi="Verdana"/>
          <w:sz w:val="20"/>
          <w:szCs w:val="20"/>
        </w:rPr>
        <w:t xml:space="preserve"> 158</w:t>
      </w:r>
      <w:r w:rsidRPr="00134EA4">
        <w:rPr>
          <w:rFonts w:ascii="Verdana" w:hAnsi="Verdana"/>
          <w:sz w:val="20"/>
          <w:szCs w:val="20"/>
        </w:rPr>
        <w:t xml:space="preserve"> uczniów. </w:t>
      </w:r>
      <w:r w:rsidR="00C20D43" w:rsidRPr="00134EA4">
        <w:rPr>
          <w:rFonts w:ascii="Verdana" w:hAnsi="Verdana" w:cs="Arial"/>
          <w:bCs/>
          <w:sz w:val="20"/>
          <w:szCs w:val="20"/>
        </w:rPr>
        <w:t>Na podstawie wywiadu, przeprowadzonego z dziećmi oraz ich rodzicami/opiekunami, określono aktualny poziom aktywności fizycznej oraz zainteresowania sportowe pacjentów:</w:t>
      </w:r>
    </w:p>
    <w:p w:rsidR="00C20D43" w:rsidRPr="00134EA4" w:rsidRDefault="004D60AA" w:rsidP="00C20D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134EA4">
        <w:rPr>
          <w:rFonts w:ascii="Verdana" w:hAnsi="Verdana" w:cs="Arial"/>
          <w:bCs/>
          <w:sz w:val="20"/>
          <w:szCs w:val="20"/>
        </w:rPr>
        <w:t>prawie 45</w:t>
      </w:r>
      <w:r w:rsidR="00C20D43" w:rsidRPr="00134EA4">
        <w:rPr>
          <w:rFonts w:ascii="Verdana" w:hAnsi="Verdana" w:cs="Arial"/>
          <w:bCs/>
          <w:sz w:val="20"/>
          <w:szCs w:val="20"/>
        </w:rPr>
        <w:t xml:space="preserve">% badanych podwożona </w:t>
      </w:r>
      <w:r w:rsidRPr="00134EA4">
        <w:rPr>
          <w:rFonts w:ascii="Verdana" w:hAnsi="Verdana" w:cs="Arial"/>
          <w:bCs/>
          <w:sz w:val="20"/>
          <w:szCs w:val="20"/>
        </w:rPr>
        <w:t xml:space="preserve">jest do szkoły przez rodziców lub </w:t>
      </w:r>
      <w:r w:rsidR="00C20D43" w:rsidRPr="00134EA4">
        <w:rPr>
          <w:rFonts w:ascii="Verdana" w:hAnsi="Verdana" w:cs="Arial"/>
          <w:bCs/>
          <w:sz w:val="20"/>
          <w:szCs w:val="20"/>
        </w:rPr>
        <w:t xml:space="preserve">korzysta ze środków komunikacji miejskiej, </w:t>
      </w:r>
      <w:r w:rsidRPr="00134EA4">
        <w:rPr>
          <w:rFonts w:ascii="Verdana" w:hAnsi="Verdana" w:cs="Arial"/>
          <w:bCs/>
          <w:sz w:val="20"/>
          <w:szCs w:val="20"/>
        </w:rPr>
        <w:t>zbliżony odsetek</w:t>
      </w:r>
      <w:r w:rsidR="00C20D43" w:rsidRPr="00134EA4">
        <w:rPr>
          <w:rFonts w:ascii="Verdana" w:hAnsi="Verdana" w:cs="Arial"/>
          <w:bCs/>
          <w:sz w:val="20"/>
          <w:szCs w:val="20"/>
        </w:rPr>
        <w:t xml:space="preserve"> dzieci dostaje się do szkoły pieszo, </w:t>
      </w:r>
      <w:r w:rsidRPr="00134EA4">
        <w:rPr>
          <w:rFonts w:ascii="Verdana" w:hAnsi="Verdana" w:cs="Arial"/>
          <w:bCs/>
          <w:sz w:val="20"/>
          <w:szCs w:val="20"/>
        </w:rPr>
        <w:t>co dziesiąty uczeń dojeżdża rowerem lub na hulajnodze</w:t>
      </w:r>
      <w:r w:rsidR="00C20D43" w:rsidRPr="00134EA4">
        <w:rPr>
          <w:rFonts w:ascii="Verdana" w:hAnsi="Verdana" w:cs="Arial"/>
          <w:bCs/>
          <w:sz w:val="20"/>
          <w:szCs w:val="20"/>
        </w:rPr>
        <w:t>;</w:t>
      </w:r>
    </w:p>
    <w:p w:rsidR="00C20D43" w:rsidRPr="00134EA4" w:rsidRDefault="004D60AA" w:rsidP="00C20D4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134EA4">
        <w:rPr>
          <w:rFonts w:ascii="Verdana" w:hAnsi="Verdana" w:cs="Arial"/>
          <w:bCs/>
          <w:sz w:val="20"/>
          <w:szCs w:val="20"/>
        </w:rPr>
        <w:t>97</w:t>
      </w:r>
      <w:r w:rsidR="00C20D43" w:rsidRPr="00134EA4">
        <w:rPr>
          <w:rFonts w:ascii="Verdana" w:hAnsi="Verdana" w:cs="Arial"/>
          <w:bCs/>
          <w:sz w:val="20"/>
          <w:szCs w:val="20"/>
        </w:rPr>
        <w:t>% dzieci regularnie uczestniczy w zajęciach wychowania fizycznego;</w:t>
      </w:r>
    </w:p>
    <w:p w:rsidR="00C20D43" w:rsidRPr="005847A1" w:rsidRDefault="00C20D43" w:rsidP="00C20D4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>w dni nauki szkolnej</w:t>
      </w:r>
      <w:r w:rsidR="004D60AA" w:rsidRPr="00134EA4">
        <w:rPr>
          <w:rFonts w:ascii="Verdana" w:hAnsi="Verdana"/>
          <w:sz w:val="20"/>
          <w:szCs w:val="20"/>
        </w:rPr>
        <w:t xml:space="preserve"> 6</w:t>
      </w:r>
      <w:r w:rsidR="007F7824">
        <w:rPr>
          <w:rFonts w:ascii="Verdana" w:hAnsi="Verdana"/>
          <w:sz w:val="20"/>
          <w:szCs w:val="20"/>
        </w:rPr>
        <w:t xml:space="preserve">0% badanych spędza przed </w:t>
      </w:r>
      <w:r w:rsidRPr="00134EA4">
        <w:rPr>
          <w:rFonts w:ascii="Verdana" w:hAnsi="Verdana"/>
          <w:sz w:val="20"/>
          <w:szCs w:val="20"/>
        </w:rPr>
        <w:t>telewizorem/</w:t>
      </w:r>
      <w:r w:rsidR="007F7824">
        <w:rPr>
          <w:rFonts w:ascii="Verdana" w:hAnsi="Verdana"/>
          <w:sz w:val="20"/>
          <w:szCs w:val="20"/>
        </w:rPr>
        <w:t xml:space="preserve"> </w:t>
      </w:r>
      <w:r w:rsidRPr="00134EA4">
        <w:rPr>
          <w:rFonts w:ascii="Verdana" w:hAnsi="Verdana"/>
          <w:sz w:val="20"/>
          <w:szCs w:val="20"/>
        </w:rPr>
        <w:t>komputerem/tabletem do 2h dziennie</w:t>
      </w:r>
      <w:r w:rsidRPr="005847A1">
        <w:rPr>
          <w:rFonts w:ascii="Verdana" w:hAnsi="Verdana"/>
          <w:sz w:val="20"/>
          <w:szCs w:val="20"/>
        </w:rPr>
        <w:t>;</w:t>
      </w:r>
    </w:p>
    <w:p w:rsidR="00C20D43" w:rsidRPr="00134EA4" w:rsidRDefault="00C20D43" w:rsidP="00C20D4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5847A1">
        <w:rPr>
          <w:rFonts w:ascii="Verdana" w:hAnsi="Verdana"/>
          <w:sz w:val="20"/>
          <w:szCs w:val="20"/>
        </w:rPr>
        <w:t>w w</w:t>
      </w:r>
      <w:r w:rsidR="005847A1" w:rsidRPr="005847A1">
        <w:rPr>
          <w:rFonts w:ascii="Verdana" w:hAnsi="Verdana"/>
          <w:sz w:val="20"/>
          <w:szCs w:val="20"/>
        </w:rPr>
        <w:t>eekendy „</w:t>
      </w:r>
      <w:r w:rsidR="008036BD">
        <w:rPr>
          <w:rFonts w:ascii="Verdana" w:hAnsi="Verdana"/>
          <w:sz w:val="20"/>
          <w:szCs w:val="20"/>
          <w:highlight w:val="yellow"/>
        </w:rPr>
        <w:t>offline” (</w:t>
      </w:r>
      <w:r w:rsidR="005847A1" w:rsidRPr="005847A1">
        <w:rPr>
          <w:rFonts w:ascii="Verdana" w:hAnsi="Verdana"/>
          <w:sz w:val="20"/>
          <w:szCs w:val="20"/>
          <w:highlight w:val="yellow"/>
        </w:rPr>
        <w:t>korzystając z urządz</w:t>
      </w:r>
      <w:r w:rsidR="002D3B01">
        <w:rPr>
          <w:rFonts w:ascii="Verdana" w:hAnsi="Verdana"/>
          <w:sz w:val="20"/>
          <w:szCs w:val="20"/>
          <w:highlight w:val="yellow"/>
        </w:rPr>
        <w:t>eń typu: komputer, telefon itp.</w:t>
      </w:r>
      <w:r w:rsidR="005847A1" w:rsidRPr="005847A1">
        <w:rPr>
          <w:rFonts w:ascii="Verdana" w:hAnsi="Verdana"/>
          <w:sz w:val="20"/>
          <w:szCs w:val="20"/>
          <w:highlight w:val="yellow"/>
        </w:rPr>
        <w:t xml:space="preserve"> poniżej 1h dziennie</w:t>
      </w:r>
      <w:r w:rsidR="002D3B01">
        <w:rPr>
          <w:rFonts w:ascii="Verdana" w:hAnsi="Verdana"/>
          <w:sz w:val="20"/>
          <w:szCs w:val="20"/>
          <w:highlight w:val="yellow"/>
        </w:rPr>
        <w:t>)</w:t>
      </w:r>
      <w:bookmarkStart w:id="0" w:name="_GoBack"/>
      <w:bookmarkEnd w:id="0"/>
      <w:r w:rsidR="005847A1" w:rsidRPr="005847A1">
        <w:rPr>
          <w:rFonts w:ascii="Verdana" w:hAnsi="Verdana"/>
          <w:sz w:val="20"/>
          <w:szCs w:val="20"/>
          <w:highlight w:val="yellow"/>
        </w:rPr>
        <w:t>,</w:t>
      </w:r>
      <w:r w:rsidRPr="005847A1">
        <w:rPr>
          <w:rFonts w:ascii="Verdana" w:hAnsi="Verdana"/>
          <w:sz w:val="20"/>
          <w:szCs w:val="20"/>
        </w:rPr>
        <w:t xml:space="preserve"> przebywa </w:t>
      </w:r>
      <w:r w:rsidR="004D60AA" w:rsidRPr="005847A1">
        <w:rPr>
          <w:rFonts w:ascii="Verdana" w:hAnsi="Verdana"/>
          <w:sz w:val="20"/>
          <w:szCs w:val="20"/>
        </w:rPr>
        <w:t>10</w:t>
      </w:r>
      <w:r w:rsidRPr="005847A1">
        <w:rPr>
          <w:rFonts w:ascii="Verdana" w:hAnsi="Verdana"/>
          <w:sz w:val="20"/>
          <w:szCs w:val="20"/>
        </w:rPr>
        <w:t>%</w:t>
      </w:r>
      <w:r w:rsidRPr="00134EA4">
        <w:rPr>
          <w:rFonts w:ascii="Verdana" w:hAnsi="Verdana"/>
          <w:sz w:val="20"/>
          <w:szCs w:val="20"/>
        </w:rPr>
        <w:t xml:space="preserve">  spośród przebadanych dzieci;</w:t>
      </w:r>
    </w:p>
    <w:p w:rsidR="00C20D43" w:rsidRPr="00134EA4" w:rsidRDefault="004D60AA" w:rsidP="00C20D4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134EA4">
        <w:rPr>
          <w:rFonts w:ascii="Verdana" w:hAnsi="Verdana" w:cs="Arial"/>
          <w:bCs/>
          <w:sz w:val="20"/>
          <w:szCs w:val="20"/>
        </w:rPr>
        <w:t>70</w:t>
      </w:r>
      <w:r w:rsidR="00C20D43" w:rsidRPr="00134EA4">
        <w:rPr>
          <w:rFonts w:ascii="Verdana" w:hAnsi="Verdana" w:cs="Arial"/>
          <w:bCs/>
          <w:sz w:val="20"/>
          <w:szCs w:val="20"/>
        </w:rPr>
        <w:t>% pacjentów deklaruje systematyczny (od 1 do 5 razy w tygodniu) udział w zorganizowanych zajęciach ruchowych;</w:t>
      </w:r>
    </w:p>
    <w:p w:rsidR="00C20D43" w:rsidRPr="005160D2" w:rsidRDefault="00C20D43" w:rsidP="00A505C8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134EA4">
        <w:rPr>
          <w:rFonts w:ascii="Verdana" w:hAnsi="Verdana" w:cs="Arial"/>
          <w:bCs/>
          <w:sz w:val="20"/>
          <w:szCs w:val="20"/>
        </w:rPr>
        <w:t>wśród aktywności ruchowych podejmowanych w czasie wolnym dzieci najczęściej wymieniają jazdę na rowerze, w dalszej kolejności</w:t>
      </w:r>
      <w:r w:rsidR="00051DE0" w:rsidRPr="00134EA4">
        <w:rPr>
          <w:rFonts w:ascii="Verdana" w:hAnsi="Verdana" w:cs="Arial"/>
          <w:bCs/>
          <w:sz w:val="20"/>
          <w:szCs w:val="20"/>
        </w:rPr>
        <w:t xml:space="preserve"> pływanie,</w:t>
      </w:r>
      <w:r w:rsidRPr="00134EA4">
        <w:rPr>
          <w:rFonts w:ascii="Verdana" w:hAnsi="Verdana" w:cs="Arial"/>
          <w:bCs/>
          <w:sz w:val="20"/>
          <w:szCs w:val="20"/>
        </w:rPr>
        <w:t xml:space="preserve"> gry zespołowe</w:t>
      </w:r>
      <w:r w:rsidR="00051DE0" w:rsidRPr="00134EA4">
        <w:rPr>
          <w:rFonts w:ascii="Verdana" w:hAnsi="Verdana" w:cs="Arial"/>
          <w:bCs/>
          <w:sz w:val="20"/>
          <w:szCs w:val="20"/>
        </w:rPr>
        <w:t xml:space="preserve">, </w:t>
      </w:r>
      <w:r w:rsidRPr="00134EA4">
        <w:rPr>
          <w:rFonts w:ascii="Verdana" w:hAnsi="Verdana" w:cs="Arial"/>
          <w:bCs/>
          <w:sz w:val="20"/>
          <w:szCs w:val="20"/>
        </w:rPr>
        <w:t>taniec, sporty walki. L</w:t>
      </w:r>
      <w:r w:rsidR="00051DE0" w:rsidRPr="00134EA4">
        <w:rPr>
          <w:rFonts w:ascii="Verdana" w:hAnsi="Verdana" w:cs="Arial"/>
          <w:bCs/>
          <w:sz w:val="20"/>
          <w:szCs w:val="20"/>
        </w:rPr>
        <w:t xml:space="preserve">ubiane przez dzieci są również: </w:t>
      </w:r>
      <w:r w:rsidRPr="00134EA4">
        <w:rPr>
          <w:rFonts w:ascii="Verdana" w:hAnsi="Verdana" w:cs="Arial"/>
          <w:bCs/>
          <w:sz w:val="20"/>
          <w:szCs w:val="20"/>
        </w:rPr>
        <w:t>jazda na hulajnodze, rolkach, a w okresie zimowym na łyżwach.</w:t>
      </w:r>
    </w:p>
    <w:p w:rsidR="00374C23" w:rsidRPr="00134EA4" w:rsidRDefault="00051DE0" w:rsidP="00A505C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134EA4">
        <w:rPr>
          <w:rFonts w:ascii="Verdana" w:hAnsi="Verdana" w:cs="Arial"/>
          <w:bCs/>
          <w:sz w:val="20"/>
          <w:szCs w:val="20"/>
        </w:rPr>
        <w:t xml:space="preserve">Podczas konsultacji </w:t>
      </w:r>
      <w:r w:rsidR="00C20D43" w:rsidRPr="00134EA4">
        <w:rPr>
          <w:rFonts w:ascii="Verdana" w:hAnsi="Verdana" w:cs="Arial"/>
          <w:bCs/>
          <w:sz w:val="20"/>
          <w:szCs w:val="20"/>
        </w:rPr>
        <w:t>omówiono</w:t>
      </w:r>
      <w:r w:rsidR="00374C23" w:rsidRPr="00134EA4">
        <w:rPr>
          <w:rFonts w:ascii="Verdana" w:hAnsi="Verdana" w:cs="Arial"/>
          <w:bCs/>
          <w:sz w:val="20"/>
          <w:szCs w:val="20"/>
        </w:rPr>
        <w:t xml:space="preserve"> </w:t>
      </w:r>
      <w:r w:rsidRPr="00134EA4">
        <w:rPr>
          <w:rFonts w:ascii="Verdana" w:hAnsi="Verdana" w:cs="Arial"/>
          <w:bCs/>
          <w:sz w:val="20"/>
          <w:szCs w:val="20"/>
        </w:rPr>
        <w:t xml:space="preserve">z rodzicami/opiekunami </w:t>
      </w:r>
      <w:r w:rsidR="00374C23" w:rsidRPr="00134EA4">
        <w:rPr>
          <w:rFonts w:ascii="Verdana" w:hAnsi="Verdana" w:cs="Arial"/>
          <w:bCs/>
          <w:sz w:val="20"/>
          <w:szCs w:val="20"/>
        </w:rPr>
        <w:t xml:space="preserve">zalecenia dotyczące aktywności ruchowej dostosowane do stanu zdrowia oraz aktualnych możliwości </w:t>
      </w:r>
      <w:r w:rsidR="00F821B5">
        <w:rPr>
          <w:rFonts w:ascii="Verdana" w:hAnsi="Verdana" w:cs="Arial"/>
          <w:bCs/>
          <w:sz w:val="20"/>
          <w:szCs w:val="20"/>
        </w:rPr>
        <w:t>dziecka.</w:t>
      </w:r>
      <w:r w:rsidR="00374C23" w:rsidRPr="00134EA4">
        <w:rPr>
          <w:rFonts w:ascii="Verdana" w:hAnsi="Verdana" w:cs="Arial"/>
          <w:bCs/>
          <w:sz w:val="20"/>
          <w:szCs w:val="20"/>
        </w:rPr>
        <w:t xml:space="preserve"> Przedstawiono sposoby zwiększania poziomu aktywności fizycznej oraz przekazano narzędzie jej kontroli – tygodniowy dziennik aktywności. Uczestników konsultacji poinformowano również o możliwości skorzystani</w:t>
      </w:r>
      <w:r w:rsidRPr="00134EA4">
        <w:rPr>
          <w:rFonts w:ascii="Verdana" w:hAnsi="Verdana" w:cs="Arial"/>
          <w:bCs/>
          <w:sz w:val="20"/>
          <w:szCs w:val="20"/>
        </w:rPr>
        <w:t>a z programu promocji zdrowia i </w:t>
      </w:r>
      <w:r w:rsidR="00374C23" w:rsidRPr="00134EA4">
        <w:rPr>
          <w:rFonts w:ascii="Verdana" w:hAnsi="Verdana" w:cs="Arial"/>
          <w:bCs/>
          <w:sz w:val="20"/>
          <w:szCs w:val="20"/>
        </w:rPr>
        <w:t>zapobiegania wadom postawy „Trzymaj się prosto”.</w:t>
      </w:r>
    </w:p>
    <w:p w:rsidR="00374C23" w:rsidRPr="00134EA4" w:rsidRDefault="00374C23" w:rsidP="00374C2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74C23" w:rsidRPr="00134EA4" w:rsidRDefault="00374C23" w:rsidP="00374C2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 xml:space="preserve">Z indywidualnych konsultacji </w:t>
      </w:r>
      <w:r w:rsidR="00A505C8" w:rsidRPr="00134EA4">
        <w:rPr>
          <w:rFonts w:ascii="Verdana" w:hAnsi="Verdana"/>
          <w:bCs/>
          <w:sz w:val="20"/>
          <w:szCs w:val="20"/>
        </w:rPr>
        <w:t>psychologicznych skorzystało 135</w:t>
      </w:r>
      <w:r w:rsidRPr="00134EA4">
        <w:rPr>
          <w:rFonts w:ascii="Verdana" w:hAnsi="Verdana"/>
          <w:bCs/>
          <w:sz w:val="20"/>
          <w:szCs w:val="20"/>
        </w:rPr>
        <w:t xml:space="preserve"> uczniów. Najczęściej zgłaszanymi przez rodziców problemami obserwowanymi u dziecka były</w:t>
      </w:r>
      <w:r w:rsidR="00D17A71" w:rsidRPr="00134EA4">
        <w:rPr>
          <w:rFonts w:ascii="Verdana" w:hAnsi="Verdana"/>
          <w:bCs/>
          <w:sz w:val="20"/>
          <w:szCs w:val="20"/>
        </w:rPr>
        <w:t>: trudności w </w:t>
      </w:r>
      <w:r w:rsidRPr="00134EA4">
        <w:rPr>
          <w:rFonts w:ascii="Verdana" w:hAnsi="Verdana"/>
          <w:bCs/>
          <w:sz w:val="20"/>
          <w:szCs w:val="20"/>
        </w:rPr>
        <w:t xml:space="preserve">adaptacji do grupy rówieśniczej, brak akceptacji własnego wyglądu, depresyjność oraz obniżony nastrój. </w:t>
      </w:r>
    </w:p>
    <w:p w:rsidR="00374C23" w:rsidRPr="00134EA4" w:rsidRDefault="00374C23" w:rsidP="002B25F4">
      <w:pPr>
        <w:spacing w:before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W grupie dzieci korzystających ze specjalistycznych</w:t>
      </w:r>
      <w:r w:rsidR="002B25F4" w:rsidRPr="00134EA4">
        <w:rPr>
          <w:rFonts w:ascii="Verdana" w:hAnsi="Verdana"/>
          <w:bCs/>
          <w:sz w:val="20"/>
          <w:szCs w:val="20"/>
        </w:rPr>
        <w:t xml:space="preserve"> porad psychologa zdiagnozowano:</w:t>
      </w:r>
    </w:p>
    <w:p w:rsidR="00374C23" w:rsidRPr="00134EA4" w:rsidRDefault="00374C23" w:rsidP="00374C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trudności szkolne: dysleksję, dysortografię, zaburzenia sensoryczne, zespoły opóźnień wczesnodziecięcych, zaburzenia mowy;</w:t>
      </w:r>
    </w:p>
    <w:p w:rsidR="00374C23" w:rsidRPr="00134EA4" w:rsidRDefault="00374C23" w:rsidP="00374C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lastRenderedPageBreak/>
        <w:t xml:space="preserve">zależność od mediów (telewizja, </w:t>
      </w:r>
      <w:proofErr w:type="spellStart"/>
      <w:r w:rsidRPr="00134EA4">
        <w:rPr>
          <w:rFonts w:ascii="Verdana" w:hAnsi="Verdana"/>
          <w:bCs/>
          <w:sz w:val="20"/>
          <w:szCs w:val="20"/>
        </w:rPr>
        <w:t>internet</w:t>
      </w:r>
      <w:proofErr w:type="spellEnd"/>
      <w:r w:rsidRPr="00134EA4">
        <w:rPr>
          <w:rFonts w:ascii="Verdana" w:hAnsi="Verdana"/>
          <w:bCs/>
          <w:sz w:val="20"/>
          <w:szCs w:val="20"/>
        </w:rPr>
        <w:t>, telefon komórkowy);</w:t>
      </w:r>
    </w:p>
    <w:p w:rsidR="00374C23" w:rsidRPr="00134EA4" w:rsidRDefault="00374C23" w:rsidP="00374C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zaburzenia emocjonalne;</w:t>
      </w:r>
    </w:p>
    <w:p w:rsidR="00374C23" w:rsidRPr="00134EA4" w:rsidRDefault="00374C23" w:rsidP="00374C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trudności w relacjach z rówieśnikami;</w:t>
      </w:r>
    </w:p>
    <w:p w:rsidR="00374C23" w:rsidRPr="00134EA4" w:rsidRDefault="00374C23" w:rsidP="00374C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zaburzenia zachowania: nadruchliwość, pobudliwość z deficytem uwagi lub impulsywnością, zachowania agresywne;</w:t>
      </w:r>
    </w:p>
    <w:p w:rsidR="00374C23" w:rsidRPr="00134EA4" w:rsidRDefault="00374C23" w:rsidP="00374C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lękliwość, fobie, tiki, moczenie nocne;</w:t>
      </w:r>
    </w:p>
    <w:p w:rsidR="00374C23" w:rsidRPr="00134EA4" w:rsidRDefault="00374C23" w:rsidP="00374C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trudności wychowawcze: problemy z uczeniem się przez dzieci prawidłowych nawyków żywieniowych, powiązane często z postawami wychowawczymi rodziców/opiekunów typu nadopiekuńczość i niekonsekwencja.</w:t>
      </w:r>
    </w:p>
    <w:p w:rsidR="00D17A71" w:rsidRPr="00134EA4" w:rsidRDefault="00374C23" w:rsidP="00D17A71">
      <w:pPr>
        <w:spacing w:before="240" w:after="240" w:line="360" w:lineRule="auto"/>
        <w:jc w:val="both"/>
        <w:rPr>
          <w:rFonts w:ascii="Verdana" w:hAnsi="Verdana"/>
          <w:bCs/>
          <w:sz w:val="20"/>
          <w:szCs w:val="20"/>
        </w:rPr>
      </w:pPr>
      <w:r w:rsidRPr="00134EA4">
        <w:rPr>
          <w:rFonts w:ascii="Verdana" w:hAnsi="Verdana"/>
          <w:bCs/>
          <w:sz w:val="20"/>
          <w:szCs w:val="20"/>
        </w:rPr>
        <w:t>Rodzicom i dzieciom udzielono porad oraz informacji w zakresie wstępnie zdiagnozowanych problemów. Podano sposoby budowania u dzieci motywacji do zmiany nawyków żywieniowych oraz aktywności fizycznej w oparciu o uzdolnienia i zainteresowania dziecka. Podkreślono również modelującą rolę prozdrowotnych zachowań dorosłych w kształtowaniu postaw dzieci.</w:t>
      </w:r>
    </w:p>
    <w:p w:rsidR="00F76C1D" w:rsidRPr="00134EA4" w:rsidRDefault="002B25F4" w:rsidP="002B25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34EA4">
        <w:rPr>
          <w:rFonts w:ascii="Verdana" w:hAnsi="Verdana"/>
          <w:sz w:val="20"/>
          <w:szCs w:val="20"/>
        </w:rPr>
        <w:t>W ramach realizacji przedsięwzięcia „Uczeń w formie” 2016/2017 w 75 placówkach zgłoszonych do programu przeprowadzono kampanie edukacyjno-informacyjne mające na celu promocję zdrowego stylu życia.</w:t>
      </w:r>
    </w:p>
    <w:sectPr w:rsidR="00F76C1D" w:rsidRPr="00134EA4" w:rsidSect="001111E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5" w:rsidRDefault="008A3855" w:rsidP="00C93B19">
      <w:r>
        <w:separator/>
      </w:r>
    </w:p>
  </w:endnote>
  <w:endnote w:type="continuationSeparator" w:id="0">
    <w:p w:rsidR="008A3855" w:rsidRDefault="008A3855" w:rsidP="00C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04261"/>
      <w:docPartObj>
        <w:docPartGallery w:val="Page Numbers (Bottom of Page)"/>
        <w:docPartUnique/>
      </w:docPartObj>
    </w:sdtPr>
    <w:sdtEndPr/>
    <w:sdtContent>
      <w:p w:rsidR="00C93B19" w:rsidRDefault="008A3855">
        <w:pPr>
          <w:pStyle w:val="Stopka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2D3B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3B19" w:rsidRDefault="00C93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5" w:rsidRDefault="008A3855" w:rsidP="00C93B19">
      <w:r>
        <w:separator/>
      </w:r>
    </w:p>
  </w:footnote>
  <w:footnote w:type="continuationSeparator" w:id="0">
    <w:p w:rsidR="008A3855" w:rsidRDefault="008A3855" w:rsidP="00C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A25"/>
    <w:multiLevelType w:val="hybridMultilevel"/>
    <w:tmpl w:val="7A569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74F76"/>
    <w:multiLevelType w:val="hybridMultilevel"/>
    <w:tmpl w:val="66900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E3220"/>
    <w:multiLevelType w:val="hybridMultilevel"/>
    <w:tmpl w:val="8736A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571EB"/>
    <w:multiLevelType w:val="hybridMultilevel"/>
    <w:tmpl w:val="34EC9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D7C"/>
    <w:multiLevelType w:val="hybridMultilevel"/>
    <w:tmpl w:val="E26E1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00EB3"/>
    <w:multiLevelType w:val="hybridMultilevel"/>
    <w:tmpl w:val="1BBA00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42B80"/>
    <w:multiLevelType w:val="hybridMultilevel"/>
    <w:tmpl w:val="02DE3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225"/>
    <w:rsid w:val="00051DE0"/>
    <w:rsid w:val="000867A1"/>
    <w:rsid w:val="000928B3"/>
    <w:rsid w:val="000B38EB"/>
    <w:rsid w:val="000D42F2"/>
    <w:rsid w:val="0010508D"/>
    <w:rsid w:val="001111E9"/>
    <w:rsid w:val="00134EA4"/>
    <w:rsid w:val="001D6F5E"/>
    <w:rsid w:val="002161BD"/>
    <w:rsid w:val="0026712D"/>
    <w:rsid w:val="00283B3A"/>
    <w:rsid w:val="002B25F4"/>
    <w:rsid w:val="002D3B01"/>
    <w:rsid w:val="00347BBC"/>
    <w:rsid w:val="00351012"/>
    <w:rsid w:val="00374C23"/>
    <w:rsid w:val="003F26B1"/>
    <w:rsid w:val="004D60AA"/>
    <w:rsid w:val="00512A9B"/>
    <w:rsid w:val="005160D2"/>
    <w:rsid w:val="00570282"/>
    <w:rsid w:val="005847A1"/>
    <w:rsid w:val="005A37FC"/>
    <w:rsid w:val="006D3A6D"/>
    <w:rsid w:val="006D3EA4"/>
    <w:rsid w:val="007458AB"/>
    <w:rsid w:val="00790929"/>
    <w:rsid w:val="007F7824"/>
    <w:rsid w:val="008036BD"/>
    <w:rsid w:val="008532BC"/>
    <w:rsid w:val="00876364"/>
    <w:rsid w:val="008A3855"/>
    <w:rsid w:val="0096345A"/>
    <w:rsid w:val="009E399D"/>
    <w:rsid w:val="00A03D47"/>
    <w:rsid w:val="00A505C8"/>
    <w:rsid w:val="00A670D3"/>
    <w:rsid w:val="00B97225"/>
    <w:rsid w:val="00C20D43"/>
    <w:rsid w:val="00C93B19"/>
    <w:rsid w:val="00CC3A99"/>
    <w:rsid w:val="00D17A71"/>
    <w:rsid w:val="00D17BFE"/>
    <w:rsid w:val="00DF7633"/>
    <w:rsid w:val="00E8126F"/>
    <w:rsid w:val="00EC6C32"/>
    <w:rsid w:val="00F76C1D"/>
    <w:rsid w:val="00F821B5"/>
    <w:rsid w:val="00FA3DED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7225"/>
    <w:pPr>
      <w:jc w:val="center"/>
    </w:pPr>
    <w:rPr>
      <w:rFonts w:ascii="Verdana" w:hAnsi="Verdana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225"/>
    <w:rPr>
      <w:rFonts w:ascii="Verdana" w:eastAsia="Times New Roman" w:hAnsi="Verdana" w:cs="Times New Roman"/>
      <w:sz w:val="20"/>
      <w:lang w:eastAsia="pl-PL"/>
    </w:rPr>
  </w:style>
  <w:style w:type="character" w:styleId="Pogrubienie">
    <w:name w:val="Strong"/>
    <w:basedOn w:val="Domylnaczcionkaakapitu"/>
    <w:uiPriority w:val="22"/>
    <w:qFormat/>
    <w:rsid w:val="00B97225"/>
    <w:rPr>
      <w:b/>
      <w:bCs/>
    </w:rPr>
  </w:style>
  <w:style w:type="character" w:customStyle="1" w:styleId="apple-converted-space">
    <w:name w:val="apple-converted-space"/>
    <w:basedOn w:val="Domylnaczcionkaakapitu"/>
    <w:rsid w:val="00B97225"/>
  </w:style>
  <w:style w:type="paragraph" w:styleId="NormalnyWeb">
    <w:name w:val="Normal (Web)"/>
    <w:basedOn w:val="Normalny"/>
    <w:uiPriority w:val="99"/>
    <w:unhideWhenUsed/>
    <w:rsid w:val="00F76C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C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58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3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elina\Desktop\Raport%20nadwaga%20oty&#322;o&#347;&#263;%202016_2017\RAPORT%20217%20DA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elina\Desktop\Raport%20nadwaga%20oty&#322;o&#347;&#263;%202016_2017\RAPORT%20217%20DA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elina\Desktop\Raport%20nadwaga%20oty&#322;o&#347;&#263;%202016_2017\RAPORT%20217%20DA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elina\Desktop\Raport%20nadwaga%20oty&#322;o&#347;&#263;%202016_2017\Raport%20nadwaga%20oty&#322;o&#347;&#263;%202016%202017\Tabele%20i%20wykresy%20-%20Raport%202016_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elina\Desktop\Raport%20nadwaga%20oty&#322;o&#347;&#263;%202016_2017\Raport%20nadwaga%20oty&#322;o&#347;&#263;%202016%202017\Tabele%20i%20wykresy%20-%20Raport%202016_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elina\Desktop\Raport%20nadwaga%20oty&#322;o&#347;&#263;%202016_2017\RAPORT%20217%20DA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elina\Desktop\Raport%20nadwaga%20oty&#322;o&#347;&#263;%202016_2017\RAPORT%20217%20DA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33CC"/>
            </a:solidFill>
          </c:spPr>
          <c:invertIfNegative val="0"/>
          <c:dLbls>
            <c:dLbl>
              <c:idx val="0"/>
              <c:layout>
                <c:manualLayout>
                  <c:x val="1.3888888888888935E-2"/>
                  <c:y val="9.2592592592593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708E-2"/>
                  <c:y val="8.796296296296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8E-2"/>
                  <c:y val="8.333333333333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Przebadani!$A$3:$A$5</c:f>
              <c:strCache>
                <c:ptCount val="3"/>
                <c:pt idx="0">
                  <c:v>Klasa I</c:v>
                </c:pt>
                <c:pt idx="1">
                  <c:v>Klasa III</c:v>
                </c:pt>
                <c:pt idx="2">
                  <c:v>Klasa V</c:v>
                </c:pt>
              </c:strCache>
            </c:strRef>
          </c:cat>
          <c:val>
            <c:numRef>
              <c:f>Przebadani!$B$3:$B$5</c:f>
              <c:numCache>
                <c:formatCode>General</c:formatCode>
                <c:ptCount val="3"/>
                <c:pt idx="0">
                  <c:v>2948</c:v>
                </c:pt>
                <c:pt idx="1">
                  <c:v>5921</c:v>
                </c:pt>
                <c:pt idx="2">
                  <c:v>3799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gapDepth val="88"/>
        <c:shape val="box"/>
        <c:axId val="138232192"/>
        <c:axId val="138233728"/>
        <c:axId val="0"/>
      </c:bar3DChart>
      <c:catAx>
        <c:axId val="138232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8233728"/>
        <c:crosses val="autoZero"/>
        <c:auto val="1"/>
        <c:lblAlgn val="ctr"/>
        <c:lblOffset val="100"/>
        <c:noMultiLvlLbl val="0"/>
      </c:catAx>
      <c:valAx>
        <c:axId val="13823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823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33CC"/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8.7962962962963229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8.3333333333333343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912E-2"/>
                  <c:y val="7.40740740740740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222222222222251E-2"/>
                  <c:y val="7.8703703703703803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 zaburzeniami'!$C$11:$C$14</c:f>
              <c:strCache>
                <c:ptCount val="4"/>
                <c:pt idx="0">
                  <c:v>Nadwaga</c:v>
                </c:pt>
                <c:pt idx="1">
                  <c:v>Otyłość</c:v>
                </c:pt>
                <c:pt idx="2">
                  <c:v>Niedobór masy ciała</c:v>
                </c:pt>
                <c:pt idx="3">
                  <c:v>Niedobór wzrostu</c:v>
                </c:pt>
              </c:strCache>
            </c:strRef>
          </c:cat>
          <c:val>
            <c:numRef>
              <c:f>'Z zaburzeniami'!$D$11:$D$14</c:f>
              <c:numCache>
                <c:formatCode>0.00%</c:formatCode>
                <c:ptCount val="4"/>
                <c:pt idx="0">
                  <c:v>9.60688348594885E-2</c:v>
                </c:pt>
                <c:pt idx="1">
                  <c:v>2.3523839595831986E-2</c:v>
                </c:pt>
                <c:pt idx="2">
                  <c:v>9.3069150615724655E-2</c:v>
                </c:pt>
                <c:pt idx="3">
                  <c:v>2.1313545942532364E-2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gapDepth val="88"/>
        <c:shape val="box"/>
        <c:axId val="138251648"/>
        <c:axId val="138253440"/>
        <c:axId val="0"/>
      </c:bar3DChart>
      <c:catAx>
        <c:axId val="138251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8253440"/>
        <c:crosses val="autoZero"/>
        <c:auto val="1"/>
        <c:lblAlgn val="ctr"/>
        <c:lblOffset val="100"/>
        <c:noMultiLvlLbl val="0"/>
      </c:catAx>
      <c:valAx>
        <c:axId val="13825344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8251648"/>
        <c:crosses val="autoZero"/>
        <c:crossBetween val="between"/>
        <c:majorUnit val="2.0000000000000011E-2"/>
        <c:minorUnit val="2.000000000000001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'Z zaburzeniami wg wieku'!$E$46</c:f>
              <c:strCache>
                <c:ptCount val="1"/>
                <c:pt idx="0">
                  <c:v>Klasa I</c:v>
                </c:pt>
              </c:strCache>
            </c:strRef>
          </c:tx>
          <c:spPr>
            <a:solidFill>
              <a:srgbClr val="0033CC"/>
            </a:solidFill>
          </c:spPr>
          <c:invertIfNegative val="0"/>
          <c:dLbls>
            <c:dLbl>
              <c:idx val="0"/>
              <c:layout>
                <c:manualLayout>
                  <c:x val="1.1111111111111125E-2"/>
                  <c:y val="0.171296296296296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25E-2"/>
                  <c:y val="-1.3888888888888935E-2"/>
                </c:manualLayout>
              </c:layout>
              <c:spPr>
                <a:noFill/>
                <a:ln>
                  <a:noFill/>
                </a:ln>
              </c:spPr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35E-2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670166229225E-2"/>
                  <c:y val="0.14351851851851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 zaburzeniami wg wieku'!$F$45:$I$45</c:f>
              <c:strCache>
                <c:ptCount val="4"/>
                <c:pt idx="0">
                  <c:v>Nadwaga</c:v>
                </c:pt>
                <c:pt idx="1">
                  <c:v>Otyłość</c:v>
                </c:pt>
                <c:pt idx="2">
                  <c:v>Niedobór masy ciała</c:v>
                </c:pt>
                <c:pt idx="3">
                  <c:v>Niedobór wzrostu</c:v>
                </c:pt>
              </c:strCache>
            </c:strRef>
          </c:cat>
          <c:val>
            <c:numRef>
              <c:f>'Z zaburzeniami wg wieku'!$F$46:$I$46</c:f>
              <c:numCache>
                <c:formatCode>0.00%</c:formatCode>
                <c:ptCount val="4"/>
                <c:pt idx="0">
                  <c:v>6.7842605156038127E-2</c:v>
                </c:pt>
                <c:pt idx="1">
                  <c:v>2.1709633649932156E-2</c:v>
                </c:pt>
                <c:pt idx="2">
                  <c:v>9.3283582089552231E-2</c:v>
                </c:pt>
                <c:pt idx="3">
                  <c:v>3.2903663500678478E-2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'Z zaburzeniami wg wieku'!$E$47</c:f>
              <c:strCache>
                <c:ptCount val="1"/>
                <c:pt idx="0">
                  <c:v>Klasa III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8.3333333333333766E-3"/>
                  <c:y val="0.18518518518518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8E-3"/>
                  <c:y val="-9.259259259259307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701E-2"/>
                  <c:y val="0.14351851851851857"/>
                </c:manualLayout>
              </c:layout>
              <c:numFmt formatCode="0.0%" sourceLinked="0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367E-3"/>
                  <c:y val="0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 zaburzeniami wg wieku'!$F$45:$I$45</c:f>
              <c:strCache>
                <c:ptCount val="4"/>
                <c:pt idx="0">
                  <c:v>Nadwaga</c:v>
                </c:pt>
                <c:pt idx="1">
                  <c:v>Otyłość</c:v>
                </c:pt>
                <c:pt idx="2">
                  <c:v>Niedobór masy ciała</c:v>
                </c:pt>
                <c:pt idx="3">
                  <c:v>Niedobór wzrostu</c:v>
                </c:pt>
              </c:strCache>
            </c:strRef>
          </c:cat>
          <c:val>
            <c:numRef>
              <c:f>'Z zaburzeniami wg wieku'!$F$47:$I$47</c:f>
              <c:numCache>
                <c:formatCode>0.00%</c:formatCode>
                <c:ptCount val="4"/>
                <c:pt idx="0">
                  <c:v>9.4747508866745517E-2</c:v>
                </c:pt>
                <c:pt idx="1">
                  <c:v>2.2631312278331442E-2</c:v>
                </c:pt>
                <c:pt idx="2">
                  <c:v>9.1031920283735857E-2</c:v>
                </c:pt>
                <c:pt idx="3">
                  <c:v>1.6382367843269723E-2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'Z zaburzeniami wg wieku'!$E$48</c:f>
              <c:strCache>
                <c:ptCount val="1"/>
                <c:pt idx="0">
                  <c:v>Klasa V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1.3888888888888935E-2"/>
                  <c:y val="8.7962962962963229E-2"/>
                </c:manualLayout>
              </c:layout>
              <c:numFmt formatCode="0%" sourceLinked="0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0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25E-2"/>
                  <c:y val="0.162037037037037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4546E-3"/>
                  <c:y val="9.2592592592592921E-2"/>
                </c:manualLayout>
              </c:layout>
              <c:numFmt formatCode="0%" sourceLinked="0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 zaburzeniami wg wieku'!$F$45:$I$45</c:f>
              <c:strCache>
                <c:ptCount val="4"/>
                <c:pt idx="0">
                  <c:v>Nadwaga</c:v>
                </c:pt>
                <c:pt idx="1">
                  <c:v>Otyłość</c:v>
                </c:pt>
                <c:pt idx="2">
                  <c:v>Niedobór masy ciała</c:v>
                </c:pt>
                <c:pt idx="3">
                  <c:v>Niedobór wzrostu</c:v>
                </c:pt>
              </c:strCache>
            </c:strRef>
          </c:cat>
          <c:val>
            <c:numRef>
              <c:f>'Z zaburzeniami wg wieku'!$F$48:$I$48</c:f>
              <c:numCache>
                <c:formatCode>0.00%</c:formatCode>
                <c:ptCount val="4"/>
                <c:pt idx="0">
                  <c:v>0.12003158725980521</c:v>
                </c:pt>
                <c:pt idx="1">
                  <c:v>2.6322716504343251E-2</c:v>
                </c:pt>
                <c:pt idx="2">
                  <c:v>9.6077915240852865E-2</c:v>
                </c:pt>
                <c:pt idx="3">
                  <c:v>2.0005264543300882E-2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gapDepth val="88"/>
        <c:shape val="box"/>
        <c:axId val="138276224"/>
        <c:axId val="138294400"/>
        <c:axId val="0"/>
      </c:bar3DChart>
      <c:catAx>
        <c:axId val="138276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8294400"/>
        <c:crosses val="autoZero"/>
        <c:auto val="1"/>
        <c:lblAlgn val="ctr"/>
        <c:lblOffset val="100"/>
        <c:noMultiLvlLbl val="0"/>
      </c:catAx>
      <c:valAx>
        <c:axId val="138294400"/>
        <c:scaling>
          <c:orientation val="minMax"/>
          <c:max val="0.12000000000000002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8276224"/>
        <c:crosses val="autoZero"/>
        <c:crossBetween val="between"/>
        <c:majorUnit val="2.0000000000000011E-2"/>
        <c:minorUnit val="2.0000000000000011E-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'C:\Users\Ewelina\Desktop\Raport nadwaga otyłość 2016_2017\[RAPORT 217 DANE.xlsx]Z zaburzeniami wg płci i wieku'!$C$14</c:f>
              <c:strCache>
                <c:ptCount val="1"/>
                <c:pt idx="0">
                  <c:v>Dziewczęta</c:v>
                </c:pt>
              </c:strCache>
            </c:strRef>
          </c:tx>
          <c:spPr>
            <a:solidFill>
              <a:srgbClr val="0033CC"/>
            </a:solidFill>
          </c:spPr>
          <c:invertIfNegative val="0"/>
          <c:dLbls>
            <c:dLbl>
              <c:idx val="0"/>
              <c:layout>
                <c:manualLayout>
                  <c:x val="1.1111111111111125E-2"/>
                  <c:y val="9.2592592592592921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44794400703E-2"/>
                  <c:y val="9.2592592592592893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98E-2"/>
                  <c:y val="8.7962962962963159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670166229225E-2"/>
                  <c:y val="-9.2592592592593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'C:\Users\Ewelina\Desktop\Raport nadwaga otyłość 2016_2017\[RAPORT 217 DANE.xlsx]Z zaburzeniami wg płci i wieku'!$B$15:$B$17</c:f>
              <c:strCache>
                <c:ptCount val="3"/>
                <c:pt idx="0">
                  <c:v>Klasa I</c:v>
                </c:pt>
                <c:pt idx="1">
                  <c:v>Klasa III</c:v>
                </c:pt>
                <c:pt idx="2">
                  <c:v>Klasa V</c:v>
                </c:pt>
              </c:strCache>
            </c:strRef>
          </c:cat>
          <c:val>
            <c:numRef>
              <c:f>'C:\Users\Ewelina\Desktop\Raport nadwaga otyłość 2016_2017\[RAPORT 217 DANE.xlsx]Z zaburzeniami wg płci i wieku'!$C$15:$C$17</c:f>
              <c:numCache>
                <c:formatCode>General</c:formatCode>
                <c:ptCount val="3"/>
                <c:pt idx="0">
                  <c:v>4.9644243208279384E-2</c:v>
                </c:pt>
                <c:pt idx="1">
                  <c:v>0.11416558861578266</c:v>
                </c:pt>
                <c:pt idx="2">
                  <c:v>7.7619663648124199E-2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'C:\Users\Ewelina\Desktop\Raport nadwaga otyłość 2016_2017\[RAPORT 217 DANE.xlsx]Z zaburzeniami wg płci i wieku'!$D$14</c:f>
              <c:strCache>
                <c:ptCount val="1"/>
                <c:pt idx="0">
                  <c:v>Chłopcy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1111111111111125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98E-2"/>
                  <c:y val="7.8703339165937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00699912514E-2"/>
                  <c:y val="8.796259842519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111111111125E-2"/>
                  <c:y val="-9.2592592592593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 rot="0" vert="horz"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'C:\Users\Ewelina\Desktop\Raport nadwaga otyłość 2016_2017\[RAPORT 217 DANE.xlsx]Z zaburzeniami wg płci i wieku'!$B$15:$B$17</c:f>
              <c:strCache>
                <c:ptCount val="3"/>
                <c:pt idx="0">
                  <c:v>Klasa I</c:v>
                </c:pt>
                <c:pt idx="1">
                  <c:v>Klasa III</c:v>
                </c:pt>
                <c:pt idx="2">
                  <c:v>Klasa V</c:v>
                </c:pt>
              </c:strCache>
            </c:strRef>
          </c:cat>
          <c:val>
            <c:numRef>
              <c:f>'C:\Users\Ewelina\Desktop\Raport nadwaga otyłość 2016_2017\[RAPORT 217 DANE.xlsx]Z zaburzeniami wg płci i wieku'!$D$15:$D$17</c:f>
              <c:numCache>
                <c:formatCode>General</c:formatCode>
                <c:ptCount val="3"/>
                <c:pt idx="0">
                  <c:v>5.0740283775447294E-2</c:v>
                </c:pt>
                <c:pt idx="1">
                  <c:v>9.6391116594694626E-2</c:v>
                </c:pt>
                <c:pt idx="2">
                  <c:v>7.9734731647131532E-2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gapDepth val="88"/>
        <c:shape val="box"/>
        <c:axId val="139080064"/>
        <c:axId val="139081600"/>
        <c:axId val="0"/>
      </c:bar3DChart>
      <c:catAx>
        <c:axId val="139080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9081600"/>
        <c:crosses val="autoZero"/>
        <c:auto val="1"/>
        <c:lblAlgn val="ctr"/>
        <c:lblOffset val="100"/>
        <c:noMultiLvlLbl val="0"/>
      </c:catAx>
      <c:valAx>
        <c:axId val="139081600"/>
        <c:scaling>
          <c:orientation val="minMax"/>
          <c:max val="0.12000000000000002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9080064"/>
        <c:crosses val="autoZero"/>
        <c:crossBetween val="between"/>
        <c:majorUnit val="2.0000000000000011E-2"/>
        <c:minorUnit val="2.0000000000000011E-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33CC"/>
            </a:solidFill>
          </c:spPr>
          <c:invertIfNegative val="0"/>
          <c:dLbls>
            <c:dLbl>
              <c:idx val="0"/>
              <c:layout>
                <c:manualLayout>
                  <c:x val="1.3888670166229225E-2"/>
                  <c:y val="9.2592592592592962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44794400703E-2"/>
                  <c:y val="8.7962962962963159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98E-2"/>
                  <c:y val="9.2592228054826656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670166229225E-2"/>
                  <c:y val="-9.2592592592593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'C:\Users\Ewelina\Desktop\Raport nadwaga otyłość 2016_2017\[RAPORT 217 DANE.xlsx]Konsultacje'!$G$193:$G$195</c:f>
              <c:strCache>
                <c:ptCount val="3"/>
                <c:pt idx="0">
                  <c:v>Klasa I</c:v>
                </c:pt>
                <c:pt idx="1">
                  <c:v>Klasa III</c:v>
                </c:pt>
                <c:pt idx="2">
                  <c:v>Klasa V</c:v>
                </c:pt>
              </c:strCache>
            </c:strRef>
          </c:cat>
          <c:val>
            <c:numRef>
              <c:f>'C:\Users\Ewelina\Desktop\Raport nadwaga otyłość 2016_2017\[RAPORT 217 DANE.xlsx]Konsultacje'!$H$193:$H$195</c:f>
              <c:numCache>
                <c:formatCode>General</c:formatCode>
                <c:ptCount val="3"/>
                <c:pt idx="0">
                  <c:v>7.5471698113207544E-2</c:v>
                </c:pt>
                <c:pt idx="1">
                  <c:v>4.132231404958684E-2</c:v>
                </c:pt>
                <c:pt idx="2">
                  <c:v>3.0090270812437335E-2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gapDepth val="88"/>
        <c:shape val="box"/>
        <c:axId val="139189632"/>
        <c:axId val="165856384"/>
        <c:axId val="0"/>
      </c:bar3DChart>
      <c:catAx>
        <c:axId val="139189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65856384"/>
        <c:crosses val="autoZero"/>
        <c:auto val="1"/>
        <c:lblAlgn val="ctr"/>
        <c:lblOffset val="100"/>
        <c:noMultiLvlLbl val="0"/>
      </c:catAx>
      <c:valAx>
        <c:axId val="165856384"/>
        <c:scaling>
          <c:orientation val="minMax"/>
          <c:max val="0.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9189632"/>
        <c:crosses val="autoZero"/>
        <c:crossBetween val="between"/>
        <c:majorUnit val="2.0000000000000011E-2"/>
        <c:minorUnit val="2.000000000000001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33CC"/>
            </a:solidFill>
          </c:spPr>
          <c:invertIfNegative val="0"/>
          <c:dLbls>
            <c:dLbl>
              <c:idx val="0"/>
              <c:layout>
                <c:manualLayout>
                  <c:x val="1.1111111111111125E-2"/>
                  <c:y val="0.17129629629629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44794400704E-2"/>
                  <c:y val="0.194444444444445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701E-2"/>
                  <c:y val="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447944007033E-2"/>
                  <c:y val="0.194444444444445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</c:spPr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8888888888926E-2"/>
                  <c:y val="0.16666666666666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'Konsultacje - zaburzenia'!$A$11:$A$16</c:f>
              <c:strCache>
                <c:ptCount val="6"/>
                <c:pt idx="0">
                  <c:v>Niedobór wzrostu</c:v>
                </c:pt>
                <c:pt idx="1">
                  <c:v>Niedobór masy ciała</c:v>
                </c:pt>
                <c:pt idx="2">
                  <c:v>Nadwaga</c:v>
                </c:pt>
                <c:pt idx="3">
                  <c:v>Otyłość</c:v>
                </c:pt>
                <c:pt idx="4">
                  <c:v>Inne</c:v>
                </c:pt>
                <c:pt idx="5">
                  <c:v>Norma</c:v>
                </c:pt>
              </c:strCache>
            </c:strRef>
          </c:cat>
          <c:val>
            <c:numRef>
              <c:f>'Konsultacje - zaburzenia'!$B$11:$B$16</c:f>
              <c:numCache>
                <c:formatCode>0.00%</c:formatCode>
                <c:ptCount val="6"/>
                <c:pt idx="0">
                  <c:v>8.0246913580247006E-2</c:v>
                </c:pt>
                <c:pt idx="1">
                  <c:v>0.18518518518518542</c:v>
                </c:pt>
                <c:pt idx="2">
                  <c:v>0.34567901234567938</c:v>
                </c:pt>
                <c:pt idx="3">
                  <c:v>0.28395061728395127</c:v>
                </c:pt>
                <c:pt idx="4">
                  <c:v>1.8518518518518542E-2</c:v>
                </c:pt>
                <c:pt idx="5">
                  <c:v>8.0246913580247006E-2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gapDepth val="88"/>
        <c:shape val="box"/>
        <c:axId val="193557632"/>
        <c:axId val="193559168"/>
        <c:axId val="0"/>
      </c:bar3DChart>
      <c:catAx>
        <c:axId val="193557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93559168"/>
        <c:crosses val="autoZero"/>
        <c:auto val="1"/>
        <c:lblAlgn val="ctr"/>
        <c:lblOffset val="100"/>
        <c:noMultiLvlLbl val="0"/>
      </c:catAx>
      <c:valAx>
        <c:axId val="193559168"/>
        <c:scaling>
          <c:orientation val="minMax"/>
          <c:max val="0.3500000000000003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93557632"/>
        <c:crosses val="autoZero"/>
        <c:crossBetween val="between"/>
        <c:majorUnit val="0.05"/>
        <c:minorUnit val="0.0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'Konsultacje - zaburzenia'!$M$10</c:f>
              <c:strCache>
                <c:ptCount val="1"/>
                <c:pt idx="0">
                  <c:v>Dziewczęta </c:v>
                </c:pt>
              </c:strCache>
            </c:strRef>
          </c:tx>
          <c:spPr>
            <a:solidFill>
              <a:srgbClr val="0033CC"/>
            </a:solidFill>
          </c:spPr>
          <c:invertIfNegative val="0"/>
          <c:dLbls>
            <c:dLbl>
              <c:idx val="0"/>
              <c:layout>
                <c:manualLayout>
                  <c:x val="1.1111111111111125E-2"/>
                  <c:y val="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1146106736878E-3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25E-2"/>
                  <c:y val="7.4074074074074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670166229225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333333333333367E-3"/>
                  <c:y val="7.8703703703703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'Konsultacje - zaburzenia'!$L$11:$L$16</c:f>
              <c:strCache>
                <c:ptCount val="6"/>
                <c:pt idx="0">
                  <c:v>Niedobór wzrostu</c:v>
                </c:pt>
                <c:pt idx="1">
                  <c:v>Niedobór masy ciała</c:v>
                </c:pt>
                <c:pt idx="2">
                  <c:v>Nadwaga</c:v>
                </c:pt>
                <c:pt idx="3">
                  <c:v>Otyłość</c:v>
                </c:pt>
                <c:pt idx="4">
                  <c:v>Inne</c:v>
                </c:pt>
                <c:pt idx="5">
                  <c:v>Norma</c:v>
                </c:pt>
              </c:strCache>
            </c:strRef>
          </c:cat>
          <c:val>
            <c:numRef>
              <c:f>'Konsultacje - zaburzenia'!$M$11:$M$16</c:f>
              <c:numCache>
                <c:formatCode>General</c:formatCode>
                <c:ptCount val="6"/>
                <c:pt idx="0">
                  <c:v>7</c:v>
                </c:pt>
                <c:pt idx="1">
                  <c:v>13</c:v>
                </c:pt>
                <c:pt idx="2">
                  <c:v>31</c:v>
                </c:pt>
                <c:pt idx="3">
                  <c:v>24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'Konsultacje - zaburzenia'!$N$10</c:f>
              <c:strCache>
                <c:ptCount val="1"/>
                <c:pt idx="0">
                  <c:v>Chłopcy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7777777777777913E-3"/>
                  <c:y val="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26E-2"/>
                  <c:y val="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25E-2"/>
                  <c:y val="0.14351815398075241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900" b="1">
                        <a:solidFill>
                          <a:schemeClr val="bg1"/>
                        </a:solidFill>
                        <a:latin typeface="Arial Black" pitchFamily="34" charset="0"/>
                      </a:defRPr>
                    </a:pPr>
                    <a:r>
                      <a:rPr lang="en-US"/>
                      <a:t>25</a:t>
                    </a:r>
                    <a:endParaRPr lang="pl-PL"/>
                  </a:p>
                  <a:p>
                    <a:pPr>
                      <a:defRPr sz="900" b="1">
                        <a:solidFill>
                          <a:schemeClr val="bg1"/>
                        </a:solidFill>
                        <a:latin typeface="Arial Black" pitchFamily="34" charset="0"/>
                      </a:defRPr>
                    </a:pPr>
                    <a:endParaRPr lang="en-US"/>
                  </a:p>
                </c:rich>
              </c:tx>
              <c:numFmt formatCode="0.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111111111125E-2"/>
                  <c:y val="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Arial Black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11111111111125E-2"/>
                  <c:y val="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 sz="900" b="1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'Konsultacje - zaburzenia'!$L$11:$L$16</c:f>
              <c:strCache>
                <c:ptCount val="6"/>
                <c:pt idx="0">
                  <c:v>Niedobór wzrostu</c:v>
                </c:pt>
                <c:pt idx="1">
                  <c:v>Niedobór masy ciała</c:v>
                </c:pt>
                <c:pt idx="2">
                  <c:v>Nadwaga</c:v>
                </c:pt>
                <c:pt idx="3">
                  <c:v>Otyłość</c:v>
                </c:pt>
                <c:pt idx="4">
                  <c:v>Inne</c:v>
                </c:pt>
                <c:pt idx="5">
                  <c:v>Norma</c:v>
                </c:pt>
              </c:strCache>
            </c:strRef>
          </c:cat>
          <c:val>
            <c:numRef>
              <c:f>'Konsultacje - zaburzenia'!$N$11:$N$16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25</c:v>
                </c:pt>
                <c:pt idx="3">
                  <c:v>22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gapDepth val="88"/>
        <c:shape val="box"/>
        <c:axId val="226870400"/>
        <c:axId val="226871936"/>
        <c:axId val="0"/>
      </c:bar3DChart>
      <c:catAx>
        <c:axId val="226870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26871936"/>
        <c:crosses val="autoZero"/>
        <c:auto val="1"/>
        <c:lblAlgn val="ctr"/>
        <c:lblOffset val="100"/>
        <c:noMultiLvlLbl val="0"/>
      </c:catAx>
      <c:valAx>
        <c:axId val="226871936"/>
        <c:scaling>
          <c:orientation val="minMax"/>
          <c:max val="35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26870400"/>
        <c:crosses val="autoZero"/>
        <c:crossBetween val="between"/>
        <c:majorUnit val="5"/>
        <c:min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BB27-7182-4BAF-8421-905A0E3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12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Józefowicz</cp:lastModifiedBy>
  <cp:revision>18</cp:revision>
  <dcterms:created xsi:type="dcterms:W3CDTF">2017-12-07T15:09:00Z</dcterms:created>
  <dcterms:modified xsi:type="dcterms:W3CDTF">2017-12-18T11:58:00Z</dcterms:modified>
</cp:coreProperties>
</file>